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ABUS</w:t>
      </w:r>
      <w:r>
        <w:rPr>
          <w:rFonts w:ascii="Calibri" w:hAnsi="Calibri"/>
          <w:b/>
          <w:color w:val="1A2010"/>
          <w:sz w:val="40"/>
        </w:rPr>
        <w:t xml:space="preserve">  Arbutus Biopharma Corporation</w:t>
      </w:r>
    </w:p>
    <w:p>
      <w:pPr>
        <w:spacing w:after="120"/>
      </w:pPr>
      <w:r>
        <w:rPr>
          <w:rFonts w:ascii="Calibri" w:hAnsi="Calibri"/>
          <w:b/>
          <w:color w:val="6E8450"/>
          <w:sz w:val="18"/>
        </w:rPr>
        <w:t>GROWTH SLEEVE · 2026-04-17 · Inspire: 19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Arbutus Biopharma is a clinical-stage biopharmaceutical company developing novel therapeutics for chronic Hepatitis B virus (HBV). Its pipeline includes imdusiran (AB-729), an RNAi therapeutic in Phase 2a trials, and AB-101, an oral PD-L1 inhibitor in Phase 1a/1b trials. The company also holds foundational lipid nanoparticle (LNP) delivery technology patents licensed through Genevant Sciences.</w:t>
      </w:r>
    </w:p>
    <w:p>
      <w:r>
        <w:rPr>
          <w:rFonts w:ascii="Calibri" w:hAnsi="Calibri"/>
          <w:b/>
          <w:color w:val="6E8450"/>
          <w:sz w:val="18"/>
        </w:rPr>
        <w:t>19 Employees · https://www.arbutusbio.com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Arbutus has pivoted from broad-based antiviral development to a focused HBV strategy, but has not yet commercialized any product after two decades of operation [1]. The LNP technology licensing through Genevant and the landmark $2.25B Moderna patent settlement demonstrate the foundational value of its IP [2]. AI Deployment (0/2): No AI-powered products or AI-driven cost savings reported; the company's R&amp;D approach is traditional clinical-stage biotech [3]. Market Share (1/2): Arbutus holds foundational LNP patents that underpin mRNA vaccine delivery — the Moderna settlement validates this IP as category-defining, though Arbutus itself is not a market participant in vaccines [2]. Pipeline (2/2): Imdusiran received FDA Fast Track designation in April 2026, has achieved functional cure in 10 chronic HBV patients in Phase 2a, and AB-101 adds a complementary oral mechanism [4]. Specific clinical milestones and regulatory pathway provide clear visibility. R&amp;D Intensity (1/1): As a 19-person clinical-stage company, virtually all spending is R&amp;D-focused, with $39.6M in operating cash burn against $14.1M revenue in 2025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Arbutus states its mission as developing novel therapeutics for infectious diseases, focusing on the 300+ million people worldwide living with chronic HBV — a meaningful medical mission but not uniquely articulated compared to other clinical-stage biotechs [3]. Community Impact (1/2): The company's HBV program addresses a significant unmet medical need, particularly in developing countries where HBV prevalence is highest; imdusiran's functional cure results could be transformative for patients [4]. Employee Retention (0/2): Glassdoor reviews report mixed experiences, with specific criticism of leadership culture under previous management; the company underwent a complete board and CEO overhaul in early 2025, appointing Lindsay Androski as CEO [5]. Insider Buying (1/2): Insider ownership is notable at 20.5%, though this partly reflects legacy board holdings; the new leadership team's equity positioning is still being established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Arbutus has the financial profile of a typical pre-commercial biotech: negative ROE of -38.5%, negative profit margin of -238%, and revenue of only $14.1M (primarily licensing fees) declining 33.2% YoY [1]. The $2.25B Moderna settlement transforms the balance sheet — $950M guaranteed payment due July 2026, with $1.3B contingent — but proceeds are not yet received [2]. Current cash of $91.5M against $4.2M debt provides approximately 2 years of runway at current burn rate of $39.6M annually [1]. D/E ratio of 5.5% is excellent but meaningless for a cash-burning biotech. The stock trades at a negative forward P/E, reflecting no expected near-term profitability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Arbutus has demonstrated endurance through multiple pivots and a 20-year pursuit of antiviral therapeutics, but the company's near-term focus is increasingly financial — returning the Moderna settlement capital to shareholders rather than reinvesting in its mission. The complete board overhaul in 2025 suggests the organization is in transition, not steady state.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Curing chronic Hepatitis B for 300+ million patients worldwide is a genuine and important cause, but Arbutus has not articulated it as a transformative vision that shapes strategic decisions [3]. The company's investor communications focus more on IP monetization (Moderna settlement) and capital return than on the HBV mission. The cause exists but doesn't drive organizational behavior.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complete board and CEO overhaul in February 2025 — replacing the entire leadership team — signals significant organizational dysfunction under previous management [5]. Glassdoor reviews cite leadership as 'the worst I have experienced' with 'egos run rampant.' With only 19 employees and new leadership still establishing culture, trust is being rebuilt from near-zero.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Arbutus acknowledges Gilead, Johnson &amp; Johnson, and other HBV therapeutic developers as advancing complementary approaches, and the imdusiran program is explicitly designed to work in combination with other mechanisms [4]. The company's competitive framing emphasizes expanding the treatment landscape rather than dominating it.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Arbutus has reinvented itself multiple times — from Tekmira Pharmaceuticals (siRNA delivery) to Arbutus (broad antivirals) to a focused HBV company, while simultaneously monetizing its LNP IP through the Moderna settlement [2]. Each pivot built on prior capabilities rather than abandoning them. However, the pivots were largely forced by clinical failures rather than driven by purpose.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multi-year patent litigation against Moderna — a company 100x its size — and ultimately win a $2.25B settlement demonstrates significant courage and conviction in the value of its LNP IP [2]. The new leadership's willingness to completely reconstitute the board and management team in 2025 also shows willingness to make difficult organizational changes.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Arbutus Biopharma's investment case rests on two pillars: the transformative $2.25B Moderna LNP patent settlement and a promising HBV pipeline with imdusiran achieving functional cure in 10 patients and receiving FDA Fast Track designation in April 2026 [2][4]. The guaranteed $950M payment due July 2026 will transform the company's $922M market cap — representing roughly $4.82/share in cash per share on a 197M share base, exceeding the current stock price of $4.68 [1]. Cash of $91.5M and minimal debt of $4.2M provide operational stability through settlement receipt [6].</w:t>
      </w:r>
    </w:p>
    <w:p>
      <w:pPr>
        <w:spacing w:after="120"/>
      </w:pPr>
      <w:r>
        <w:rPr>
          <w:rFonts w:ascii="Calibri" w:hAnsi="Calibri"/>
          <w:b w:val="0"/>
          <w:color w:val="3A4A28"/>
          <w:sz w:val="20"/>
        </w:rPr>
        <w:t>The risks are substantial and typical of micro-cap biotech. Revenue of $14.1M is declining 33% YoY, the company has never been profitable, and operating cash burn of $39.6M annually requires continued capital discipline [1]. The $1.3B contingent portion of the Moderna settlement depends on a court ruling that may not be favorable. Imdusiran remains in Phase 2a — the vast majority of drugs at this stage never reach commercialization, and the HBV market already has established competitors including Gilead's tenofovir franchise. With only 19 employees, Arbutus lacks infrastructure for commercial-stage operations and would need a partner or significant scaling. The complete leadership overhaul in 2025 introduces execution uncertainty as the new team establishes its strategy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Receipt of $950M guaranteed Moderna settlement payment in July 2026, potentially triggering capital return to shareholders and valuation re-rating [2]</w:t>
      </w:r>
    </w:p>
    <w:p>
      <w:pPr>
        <w:spacing w:before="40" w:after="40"/>
        <w:ind w:left="283"/>
      </w:pPr>
      <w:r>
        <w:rPr>
          <w:rFonts w:ascii="Calibri" w:hAnsi="Calibri"/>
          <w:b/>
          <w:color w:val="4A6B25"/>
          <w:sz w:val="20"/>
        </w:rPr>
        <w:t xml:space="preserve">2. </w:t>
      </w:r>
      <w:r>
        <w:rPr>
          <w:rFonts w:ascii="Calibri" w:hAnsi="Calibri"/>
          <w:b w:val="0"/>
          <w:color w:val="3A4A28"/>
          <w:sz w:val="20"/>
        </w:rPr>
        <w:t>FDA Fast Track designation for imdusiran accelerates potential regulatory review and may attract partnership interest from larger pharma companies [4]</w:t>
      </w:r>
    </w:p>
    <w:p>
      <w:pPr>
        <w:spacing w:before="40" w:after="40"/>
        <w:ind w:left="283"/>
      </w:pPr>
      <w:r>
        <w:rPr>
          <w:rFonts w:ascii="Calibri" w:hAnsi="Calibri"/>
          <w:b/>
          <w:color w:val="4A6B25"/>
          <w:sz w:val="20"/>
        </w:rPr>
        <w:t xml:space="preserve">3. </w:t>
      </w:r>
      <w:r>
        <w:rPr>
          <w:rFonts w:ascii="Calibri" w:hAnsi="Calibri"/>
          <w:b w:val="0"/>
          <w:color w:val="3A4A28"/>
          <w:sz w:val="20"/>
        </w:rPr>
        <w:t>Court ruling on the $1.3B contingent Moderna settlement payment, which would more than double the total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Contingent $1.3B Moderna payment depends on a court ruling that could go against Arbutus, capping total recovery at $950M [2]</w:t>
      </w:r>
    </w:p>
    <w:p>
      <w:pPr>
        <w:spacing w:before="40" w:after="40"/>
        <w:ind w:left="283"/>
      </w:pPr>
      <w:r>
        <w:rPr>
          <w:rFonts w:ascii="Calibri" w:hAnsi="Calibri"/>
          <w:b/>
          <w:color w:val="4A6B25"/>
          <w:sz w:val="20"/>
        </w:rPr>
        <w:t xml:space="preserve">2. </w:t>
      </w:r>
      <w:r>
        <w:rPr>
          <w:rFonts w:ascii="Calibri" w:hAnsi="Calibri"/>
          <w:b w:val="0"/>
          <w:color w:val="3A4A28"/>
          <w:sz w:val="20"/>
        </w:rPr>
        <w:t>Imdusiran Phase 2a to Phase 3 transition risk — most drugs fail in later-stage trials, and the HBV functional cure endpoint is scientifically challenging [4]</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 complete CEO and board replacement in February 2025 means new management is still establishing strategy, culture, and execution rhythm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Drug discovery and clinical development for infectious diseases involve complex biological interactions, regulatory processes, and patient safety considerations that AI cannot substitute for [3]. Arbutus's core value lies in its LNP delivery technology patents and clinical-stage HBV therapeutics — both rooted in decades of wet-lab research and IP prosecution. The FDA approval pathway requires human clinical trials that are inherently immune to AI disruption. AI may accelerate certain drug discovery processes, but this benefits rather than threatens Arbutus's pipeline. AI Opportunity (0/1): No AI-generated revenue; the company does not employ AI in its R&amp;D pipeline or commercial strategy in any quantifiable 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Arbutus Biopharma Q4 and Full Year 2025 Results, StockTitan, February 2026</w:t>
      </w:r>
    </w:p>
    <w:p>
      <w:pPr>
        <w:spacing w:before="20" w:after="20"/>
        <w:ind w:left="170"/>
      </w:pPr>
      <w:r>
        <w:rPr>
          <w:rFonts w:ascii="Calibri" w:hAnsi="Calibri"/>
          <w:b/>
          <w:color w:val="4A6B25"/>
          <w:sz w:val="15"/>
        </w:rPr>
        <w:t xml:space="preserve">2. </w:t>
      </w:r>
      <w:r>
        <w:rPr>
          <w:rFonts w:ascii="Calibri" w:hAnsi="Calibri"/>
          <w:b w:val="0"/>
          <w:color w:val="3A4A28"/>
          <w:sz w:val="17"/>
        </w:rPr>
        <w:t>Arbutus Biopharma $2.25B Moderna LNP Patent Settlement Announcement, NewsCase, March 2026</w:t>
      </w:r>
    </w:p>
    <w:p>
      <w:pPr>
        <w:spacing w:before="20" w:after="20"/>
        <w:ind w:left="170"/>
      </w:pPr>
      <w:r>
        <w:rPr>
          <w:rFonts w:ascii="Calibri" w:hAnsi="Calibri"/>
          <w:b/>
          <w:color w:val="4A6B25"/>
          <w:sz w:val="15"/>
        </w:rPr>
        <w:t xml:space="preserve">3. </w:t>
      </w:r>
      <w:r>
        <w:rPr>
          <w:rFonts w:ascii="Calibri" w:hAnsi="Calibri"/>
          <w:b w:val="0"/>
          <w:color w:val="3A4A28"/>
          <w:sz w:val="17"/>
        </w:rPr>
        <w:t>Arbutus Biopharma corporate website and leadership team, arbutusbio.com</w:t>
      </w:r>
    </w:p>
    <w:p>
      <w:pPr>
        <w:spacing w:before="20" w:after="20"/>
        <w:ind w:left="170"/>
      </w:pPr>
      <w:r>
        <w:rPr>
          <w:rFonts w:ascii="Calibri" w:hAnsi="Calibri"/>
          <w:b/>
          <w:color w:val="4A6B25"/>
          <w:sz w:val="15"/>
        </w:rPr>
        <w:t xml:space="preserve">4. </w:t>
      </w:r>
      <w:r>
        <w:rPr>
          <w:rFonts w:ascii="Calibri" w:hAnsi="Calibri"/>
          <w:b w:val="0"/>
          <w:color w:val="3A4A28"/>
          <w:sz w:val="17"/>
        </w:rPr>
        <w:t>Arbutus Receives U.S. FDA Fast Track Designation for Imdusiran, GlobeNewsWire, April 15, 2026</w:t>
      </w:r>
    </w:p>
    <w:p>
      <w:pPr>
        <w:spacing w:before="20" w:after="20"/>
        <w:ind w:left="170"/>
      </w:pPr>
      <w:r>
        <w:rPr>
          <w:rFonts w:ascii="Calibri" w:hAnsi="Calibri"/>
          <w:b/>
          <w:color w:val="4A6B25"/>
          <w:sz w:val="15"/>
        </w:rPr>
        <w:t xml:space="preserve">5. </w:t>
      </w:r>
      <w:r>
        <w:rPr>
          <w:rFonts w:ascii="Calibri" w:hAnsi="Calibri"/>
          <w:b w:val="0"/>
          <w:color w:val="3A4A28"/>
          <w:sz w:val="17"/>
        </w:rPr>
        <w:t>Arbutus Announces Changes to Board and Appointment of Lindsay Androski as CEO, Investor Relations, February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ABUS (Arbutus Biopharma),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