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ABVX</w:t>
      </w:r>
      <w:r>
        <w:rPr>
          <w:rFonts w:ascii="Calibri" w:hAnsi="Calibri"/>
          <w:b/>
          <w:color w:val="1A2010"/>
          <w:sz w:val="40"/>
        </w:rPr>
        <w:t xml:space="preserve">  ABIVAX Société Anonyme</w:t>
      </w:r>
    </w:p>
    <w:p>
      <w:pPr>
        <w:spacing w:after="120"/>
      </w:pPr>
      <w:r>
        <w:rPr>
          <w:rFonts w:ascii="Calibri" w:hAnsi="Calibri"/>
          <w:b/>
          <w:color w:val="6E8450"/>
          <w:sz w:val="18"/>
        </w:rPr>
        <w:t>GROWTH SLEEVE · 2026-04-29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France</w:t>
      </w:r>
    </w:p>
    <w:p>
      <w:pPr>
        <w:spacing w:after="80"/>
      </w:pPr>
      <w:r>
        <w:rPr>
          <w:rFonts w:ascii="Calibri" w:hAnsi="Calibri"/>
          <w:b w:val="0"/>
          <w:color w:val="3A4A28"/>
          <w:sz w:val="20"/>
        </w:rPr>
        <w:t>Abivax is a clinical-stage biotechnology company developing therapeutics that harness the body's natural regulatory mechanisms to stabilize the immune response in patients with chronic inflammatory diseases. Its lead candidate, obefazimod, is in Phase 3 development for moderately to severely active ulcerative colitis and Phase 2b for Crohn's disease.</w:t>
      </w:r>
    </w:p>
    <w:p>
      <w:r>
        <w:rPr>
          <w:rFonts w:ascii="Calibri" w:hAnsi="Calibri"/>
          <w:b/>
          <w:color w:val="6E8450"/>
          <w:sz w:val="18"/>
        </w:rPr>
        <w:t>69 Employees · https://www.abivax.com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Obefazimod represents a genuinely novel mechanism of action — regulating immune response through microRNA modulation rather than traditional immunosuppression. The drug has demonstrated strong clinical efficacy in the ABTECT trials and analysts now project $4B peak sales across UC and Crohn's, up from an earlier $2.6B estimate, validating the scientific platform [1][2]. AI Deployment (0/2): No evidence of AI-powered products or AI-driven operational efficiencies. The company's innovation is in novel drug mechanisms, not computational tools [4]. Market Share (1/2): Targeting a UC market growing from $9.2B in 2025 to $21.2B by 2032. Obefazimod's oral convenience and novel mechanism could capture meaningful share if approved, but no product is on market yet [1]. Product Pipeline (2/2): Clear pipeline with specific timelines — 44-week ABTECT maintenance data due Q2 2026, NDA/MAA filings planned H2 2026, and Phase 2b Crohn's disease expansion providing second indication visibility [1][2]. R&amp;D Intensity (1/1): With $4.6M in revenue and the majority of spending on Phase 3 trials, R&amp;D intensity is exceptionally high, consistent with clinical-stage biotech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Abivax's mission — 'advancing human health by regulating the immune response through the power of microRNA' — identifies the company's scientific approach and therapeutic goal. It's specific to the company's technology but reads more as a scientific description than an inspiring purpose statement [4]. Community Impact (0/2): No evidence of charitable foundation, community investment programs, or philanthropic initiatives beyond the therapeutic mission itself [4]. Employee Retention (1/2): CEO Marc de Garidel, appointed May 2023, brings strong biotech leadership credentials (led CinCor Pharma sale to AstraZeneca for $1.8B, Corvidia sale to Novo Nordisk for $2.1B). His orchestral leadership philosophy emphasizes unified execution. Limited Glassdoor data available for a 69-person company [5]. Insider Buying (2/2): ABVX surged 58% in Q4 2025 amid takeover speculation, and the $700M+ capital raise attracted major institutional investors. The strategic interest from AstraZeneca (though denied by Abivax) and institutional buying signals confidence from sophisticated investors [6][7].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Abivax's infrastructure score reflects a clinical-stage biotech with minimal revenue, deep losses, and complete dependence on capital markets. The company has only $4.6M in trailing revenue (down 55.4% YoY), negative ROE of -135.6%, and zero profit margin [3]. The sole positive metric is very low debt-to-equity of 7.1%, reflecting a capital structure funded primarily through equity raises. Cash position of €530.4M with runway into Q4 2027 provides adequate near-term funding, and the recent $700M+ raise extends this timeline, but the company generates effectively no product revenue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Abivax demonstrates genuine cause-driven focus on transforming inflammatory disease treatment through a novel mechanism, and CEO Marc de Garidel brings a track record of building companies for long-term value. However, as a clinical-stage company dependent on binary trial outcomes, the infinite game assessment is inherently limited by the company's pre-commercial status.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Abivax's pursuit of a fundamentally different approach to treating inflammatory disease — through microRNA modulation rather than immunosuppression — reflects a genuine belief that current treatments are insufficient. CEO de Garidel's stated philosophy of 'de-risking execution' and 'translating rigorous science into real therapeutic value' shows deliberate purpose. The company's refusal to rush into a deal despite takeover speculation ('no rush for a deal, confident key June data can secure better terms') reflects conviction [5][7]. However, the company was founded in 2013 and has not yet validated this cause through commercial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69 employees, Abivax operates with a small, focused team. CEO de Garidel's 'orchestra conductor' leadership philosophy — setting pace, guiding talented individuals toward unified execution — suggests intentional team building. The company has maintained stability through its pivotal trial period with no reported major leadership departures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Abivax positions obefazimod against JAK inhibitors and biologics primarily through differentiation language (novel mechanism, oral convenience) rather than acknowledging competitors' strengths as learning opportunities. The competitive framing is about displacement rather than 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Abivax transitioned from its original broad antiviral platform (including HIV research) to a focused inflammatory disease strategy centered on obefazimod for UC and Crohn's. This strategic narrowing represents meaningful adaptation, though it was driven by clinical data rather than a transformative reinvention of the business model [4].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de Garidel has demonstrated willingness to forgo near-term value capture, publicly stating the company is 'in no rush for a deal' despite AstraZeneca takeover speculation and a 58% stock surge, believing that Q2 2026 maintenance data will command better partnership terms. This prioritizes long-term value over short-term certainty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Abivax represents one of the most compelling late-stage biotech opportunities in inflammatory disease, with obefazimod targeting a UC market growing from $9.2B to $21.2B by 2032. Analysts project $4B peak sales across UC and Crohn's disease, and the March 2026 DSMB review found no new safety signals with 100% of patients randomized and ~90% completing the 44-week maintenance trial. With €530.4M cash and extended runway into Q4 2027, the company is well-funded through NDA/MAA filing anticipated in H2 2026 [1][2][3].</w:t>
      </w:r>
    </w:p>
    <w:p>
      <w:pPr>
        <w:spacing w:after="120"/>
      </w:pPr>
      <w:r>
        <w:rPr>
          <w:rFonts w:ascii="Calibri" w:hAnsi="Calibri"/>
          <w:b w:val="0"/>
          <w:color w:val="3A4A28"/>
          <w:sz w:val="20"/>
        </w:rPr>
        <w:t>The bear case centers on binary clinical trial risk and an $8.7B market cap that already prices in substantial success. Negative 44-week maintenance data expected in Q2 2026 would devastate the stock. The company generates effectively zero product revenue ($4.6M trailing, down 55.4% YoY), has negative ROE of -135.6%, and a forward P/E of -38.6. Even with positive data, Abivax faces a multi-year commercialization buildout competing against entrenched biologics and JAK inhibitors from AbbVie, Johnson &amp; Johnson, and Pfizer. Wedbush initiated coverage at Underperform, citing M&amp;A caution and valuation concerns [3][6][8].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readout of 44-week ABTECT maintenance data — the pivotal binary catalyst that will determine NDA/MAA filing viability</w:t>
      </w:r>
    </w:p>
    <w:p>
      <w:pPr>
        <w:spacing w:before="40" w:after="40"/>
        <w:ind w:left="283"/>
      </w:pPr>
      <w:r>
        <w:rPr>
          <w:rFonts w:ascii="Calibri" w:hAnsi="Calibri"/>
          <w:b/>
          <w:color w:val="4A6B25"/>
          <w:sz w:val="20"/>
        </w:rPr>
        <w:t xml:space="preserve">2. </w:t>
      </w:r>
      <w:r>
        <w:rPr>
          <w:rFonts w:ascii="Calibri" w:hAnsi="Calibri"/>
          <w:b w:val="0"/>
          <w:color w:val="3A4A28"/>
          <w:sz w:val="20"/>
        </w:rPr>
        <w:t>NDA/MAA regulatory submissions in H2 2026 for obefazimod in ulcerative colitis, initiating the path to commercial launch</w:t>
      </w:r>
    </w:p>
    <w:p>
      <w:pPr>
        <w:spacing w:before="40" w:after="40"/>
        <w:ind w:left="283"/>
      </w:pPr>
      <w:r>
        <w:rPr>
          <w:rFonts w:ascii="Calibri" w:hAnsi="Calibri"/>
          <w:b/>
          <w:color w:val="4A6B25"/>
          <w:sz w:val="20"/>
        </w:rPr>
        <w:t xml:space="preserve">3. </w:t>
      </w:r>
      <w:r>
        <w:rPr>
          <w:rFonts w:ascii="Calibri" w:hAnsi="Calibri"/>
          <w:b w:val="0"/>
          <w:color w:val="3A4A28"/>
          <w:sz w:val="20"/>
        </w:rPr>
        <w:t>Phase 2b Crohn's disease data expansion providing second major indication and potentially doubling the addressable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maintenance data risk — negative or inconclusive 44-week results would eliminate the near-term investment thesis at current $8.7B valuation</w:t>
      </w:r>
    </w:p>
    <w:p>
      <w:pPr>
        <w:spacing w:before="40" w:after="40"/>
        <w:ind w:left="283"/>
      </w:pPr>
      <w:r>
        <w:rPr>
          <w:rFonts w:ascii="Calibri" w:hAnsi="Calibri"/>
          <w:b/>
          <w:color w:val="4A6B25"/>
          <w:sz w:val="20"/>
        </w:rPr>
        <w:t xml:space="preserve">2. </w:t>
      </w:r>
      <w:r>
        <w:rPr>
          <w:rFonts w:ascii="Calibri" w:hAnsi="Calibri"/>
          <w:b w:val="0"/>
          <w:color w:val="3A4A28"/>
          <w:sz w:val="20"/>
        </w:rPr>
        <w:t>Competitive landscape intensification as AbbVie (Rinvoq), Pfizer (Xeljanz), and J&amp;J (Tremfya) expand inflammatory disease portfolios with larger commercial infrastructure</w:t>
      </w:r>
    </w:p>
    <w:p>
      <w:pPr>
        <w:spacing w:before="40" w:after="40"/>
        <w:ind w:left="283"/>
      </w:pPr>
      <w:r>
        <w:rPr>
          <w:rFonts w:ascii="Calibri" w:hAnsi="Calibri"/>
          <w:b/>
          <w:color w:val="4A6B25"/>
          <w:sz w:val="20"/>
        </w:rPr>
        <w:t xml:space="preserve">3. </w:t>
      </w:r>
      <w:r>
        <w:rPr>
          <w:rFonts w:ascii="Calibri" w:hAnsi="Calibri"/>
          <w:b w:val="0"/>
          <w:color w:val="3A4A28"/>
          <w:sz w:val="20"/>
        </w:rPr>
        <w:t>Commercialization execution risk for a 69-person French biotech attempting to build global sales capabilities against established pharmaceutical companies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Abivax develops novel small-molecule therapeutics targeting inflammatory diseases through a unique microRNA-based mechanism. Drug development requires extensive clinical trials (Phase 3 with 1,000+ patients), FDA/EMA regulatory approval, and GMP manufacturing — processes that AI cannot substitute for. AI may accelerate certain aspects of drug discovery and clinical trial design for competitors, potentially compressing Abivax's first-mover advantage window, but the core business of bringing an approved oral therapy to market is protected by regulatory moats [1][2]. AI Opportunity (0/1): No evidence of AI-generated revenue. While AI tools like those from Caris Life Sciences are increasingly used in biotech, Abivax has not reported leveraging AI for revenue-generating purposes.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Abivax 2026 Corporate Outlook, January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Abivax Strong Buy on Obefazimod New UC Data, 2026</w:t>
      </w:r>
    </w:p>
    <w:p>
      <w:pPr>
        <w:spacing w:before="20" w:after="20"/>
        <w:ind w:left="170"/>
      </w:pPr>
      <w:r>
        <w:rPr>
          <w:rFonts w:ascii="Calibri" w:hAnsi="Calibri"/>
          <w:b/>
          <w:color w:val="4A6B25"/>
          <w:sz w:val="15"/>
        </w:rPr>
        <w:t xml:space="preserve">3. </w:t>
      </w:r>
      <w:r>
        <w:rPr>
          <w:rFonts w:ascii="Calibri" w:hAnsi="Calibri"/>
          <w:b w:val="0"/>
          <w:color w:val="3A4A28"/>
          <w:sz w:val="17"/>
        </w:rPr>
        <w:t>Abivax Full Year 2025 Financial Results and Business Updates, February 2026</w:t>
      </w:r>
    </w:p>
    <w:p>
      <w:pPr>
        <w:spacing w:before="20" w:after="20"/>
        <w:ind w:left="170"/>
      </w:pPr>
      <w:r>
        <w:rPr>
          <w:rFonts w:ascii="Calibri" w:hAnsi="Calibri"/>
          <w:b/>
          <w:color w:val="4A6B25"/>
          <w:sz w:val="15"/>
        </w:rPr>
        <w:t xml:space="preserve">4. </w:t>
      </w:r>
      <w:r>
        <w:rPr>
          <w:rFonts w:ascii="Calibri" w:hAnsi="Calibri"/>
          <w:b w:val="0"/>
          <w:color w:val="3A4A28"/>
          <w:sz w:val="17"/>
        </w:rPr>
        <w:t>Abivax company website — pipeline and leadership,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Marc de Garidel CEO interview — MIT Sloan and Catalyst Advisors, 2024-2025</w:t>
      </w:r>
    </w:p>
    <w:p>
      <w:pPr>
        <w:spacing w:before="20" w:after="20"/>
        <w:ind w:left="170"/>
      </w:pPr>
      <w:r>
        <w:rPr>
          <w:rFonts w:ascii="Calibri" w:hAnsi="Calibri"/>
          <w:b/>
          <w:color w:val="4A6B25"/>
          <w:sz w:val="15"/>
        </w:rPr>
        <w:t xml:space="preserve">6. </w:t>
      </w:r>
      <w:r>
        <w:rPr>
          <w:rFonts w:ascii="Calibri" w:hAnsi="Calibri"/>
          <w:b w:val="0"/>
          <w:color w:val="3A4A28"/>
          <w:sz w:val="17"/>
        </w:rPr>
        <w:t>Insider Monkey — ABIVAX SA surged 58% in Q4 2025</w:t>
      </w:r>
    </w:p>
    <w:p>
      <w:pPr>
        <w:spacing w:before="20" w:after="20"/>
        <w:ind w:left="170"/>
      </w:pPr>
      <w:r>
        <w:rPr>
          <w:rFonts w:ascii="Calibri" w:hAnsi="Calibri"/>
          <w:b/>
          <w:color w:val="4A6B25"/>
          <w:sz w:val="15"/>
        </w:rPr>
        <w:t xml:space="preserve">7. </w:t>
      </w:r>
      <w:r>
        <w:rPr>
          <w:rFonts w:ascii="Calibri" w:hAnsi="Calibri"/>
          <w:b w:val="0"/>
          <w:color w:val="3A4A28"/>
          <w:sz w:val="17"/>
        </w:rPr>
        <w:t>CNBC — Abivax denies AstraZeneca takeover, confident key June data can secure better terms, March 2026</w:t>
      </w:r>
    </w:p>
    <w:p>
      <w:pPr>
        <w:spacing w:before="20" w:after="20"/>
        <w:ind w:left="170"/>
      </w:pPr>
      <w:r>
        <w:rPr>
          <w:rFonts w:ascii="Calibri" w:hAnsi="Calibri"/>
          <w:b/>
          <w:color w:val="4A6B25"/>
          <w:sz w:val="15"/>
        </w:rPr>
        <w:t xml:space="preserve">8. </w:t>
      </w:r>
      <w:r>
        <w:rPr>
          <w:rFonts w:ascii="Calibri" w:hAnsi="Calibri"/>
          <w:b w:val="0"/>
          <w:color w:val="3A4A28"/>
          <w:sz w:val="17"/>
        </w:rPr>
        <w:t>Investing.com — Wedbush initiates Abivax at Underperform on M&amp;A caution,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