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ACAD</w:t>
      </w:r>
      <w:r>
        <w:rPr>
          <w:rFonts w:ascii="Calibri" w:hAnsi="Calibri"/>
          <w:b/>
          <w:color w:val="1A2010"/>
          <w:sz w:val="40"/>
        </w:rPr>
        <w:t xml:space="preserve">  ACADIA Pharmaceuticals Inc.</w:t>
      </w:r>
    </w:p>
    <w:p>
      <w:pPr>
        <w:spacing w:after="120"/>
      </w:pPr>
      <w:r>
        <w:rPr>
          <w:rFonts w:ascii="Calibri" w:hAnsi="Calibri"/>
          <w:b/>
          <w:color w:val="6E8450"/>
          <w:sz w:val="18"/>
        </w:rPr>
        <w:t>GROWTH SLEEVE · 2026-04-24 · Inspire: 22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ACADIA Pharmaceuticals is a biopharmaceutical company focused on developing and commercializing medicines for neurological and rare diseases. Its two commercial products are NUPLAZID (pimavanserin) for Parkinson's disease psychosis and DAYBUE (trofinetide) for Rett syndrome. Pipeline includes remlifanserin for Alzheimer's disease psychosis and ACP-211 for major depressive disorder.</w:t>
      </w:r>
    </w:p>
    <w:p>
      <w:r>
        <w:rPr>
          <w:rFonts w:ascii="Calibri" w:hAnsi="Calibri"/>
          <w:b/>
          <w:color w:val="6E8450"/>
          <w:sz w:val="18"/>
        </w:rPr>
        <w:t>796 Employees · https://www.acadia.com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ACADIA crossed the $1B annual revenue milestone in 2025 with $1.07B (up 12% YoY), driven by DAYBUE's successful launch and continued NUPLAZID growth [1]. DAYBUE, approved in 2023 for Rett syndrome, represents a successful new product launch that opened a significant new revenue stream. AI Deployment (0/2): No evidence of AI-powered products shipping to customers or quantified AI-driven cost savings; AI use is limited to internal R&amp;D and site recruitment pilots [3]. Market Share (2/2): NUPLAZID is the only FDA-approved treatment for Parkinson's disease psychosis, giving ACADIA monopoly market share in this indication, while DAYBUE is the only approved Rett syndrome treatment [1]. Pipeline (1/2): Remlifanserin is in Phase 2 for Alzheimer's disease psychosis and Lewy body dementia psychosis, and ACP-211 is in Phase 2 for major depressive disorder, but specific launch dates and revenue visibility are limited to long-range estimates of ~$1.7B combined revenue by 2028 [1][2]. R&amp;D Intensity (0/1): R&amp;D spend is moderate for a mid-cap biotech; the company is operationally lean with 796 employees but R&amp;D intensity relative to revenue is at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ACADIA's purpose of 'Redefining What's Possible in NeuroPsych and NeuroRare' is clear and identifies what the company does and for whom, but is not deeply distinctive beyond the obvious for a specialty pharma company [3]. Community Impact (1/2): ACADIA's Corporate Social Responsibility program supports patient access and caregiver communities for Parkinson's and Rett syndrome patients, though specific dollar amounts for charitable giving are not prominently disclosed [4]. Employee Retention (1/2): Glassdoor rating of 4.1/5.0 with recent positive reviews citing new CEO Catherine Owen Adams bringing 'strong leadership, fresh energy, and a clear strategic focus' — adequate but limited tenure data available for a company with only 796 employees [3]. Insider Buying (1/2): Net insider buying of 20,530 shares in the last 6 months across 10 purchase transactions, modestly positive signal showing some leadership conviction [5].</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ACADIA's financial profile is strong on profitability and growth fundamentals. D/E of 4.3% represents a near-debt-free balance sheet with minimal leverage risk [5]. ROE of 39.9% far exceeds the 15% target, and profit margin of 36.5% demonstrates excellent pharmaceutical-grade profitability on NUPLAZID and DAYBUE [5]. Revenue grew 11.9% YoY in 2025 with a 5yr CAGR of ~18%, both exceeding growth targets. The major weakness is the Forward PEG of 50.9x, reflecting Wall Street's expectation of decelerating earnings growth and pulling the score down significantly. Forward P/E of 24.1x is slightly above the 20x target. Liquidity floor cleared at $40.0M daily traded value [5].</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6</w:t>
      </w:r>
      <w:r>
        <w:rPr>
          <w:rFonts w:ascii="Calibri" w:hAnsi="Calibri"/>
          <w:b w:val="0"/>
          <w:color w:val="9DAF88"/>
          <w:sz w:val="18"/>
        </w:rPr>
        <w:t xml:space="preserve"> /10</w:t>
      </w:r>
    </w:p>
    <w:p>
      <w:pPr>
        <w:spacing w:after="120"/>
      </w:pPr>
      <w:r>
        <w:rPr>
          <w:rFonts w:ascii="Calibri" w:hAnsi="Calibri"/>
          <w:b w:val="0"/>
          <w:color w:val="3A4A28"/>
          <w:sz w:val="18"/>
        </w:rPr>
        <w:t>ACADIA shows genuine purpose in addressing underserved neurological conditions but is still early in establishing long-term institutional resilience. The CEO transition in September 2024 to Catherine Owen Adams brought renewed strategic clarity with a five-year roadmap, but the company hasn't yet been tested through multiple market cycles as an independent entity focused on rare disease.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ACADIA's focus on neuropsychiatric and rare diseases — conditions often neglected by larger pharma — represents a genuine Just Cause that connects commercial activity to patient impact [2]. NUPLAZID was the first approved treatment for Parkinson's disease psychosis, and DAYBUE the first for Rett syndrome, demonstrating willingness to pursue underserved populations. However, this cause hasn't been validated through multi-decade consistency as the company has only been commercially relevant since 2016. (2/3 points)</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rating of 4.1/5 with recent reviews praising new CEO Owen Adams for transparency, clear goals, and a motivating environment [3]. The lean 796-person organization allows for closer team dynamics, but the recent CEO transition (September 2024) means the current culture is still being established. Prior reviews referenced concerns about communication and direction under previous leadership. (1/2 points)</w:t>
      </w:r>
    </w:p>
    <w:p>
      <w:pPr>
        <w:spacing w:before="200" w:after="40"/>
      </w:pPr>
      <w:r>
        <w:rPr>
          <w:rFonts w:ascii="Calibri" w:hAnsi="Calibri"/>
          <w:b/>
          <w:color w:val="1A2010"/>
          <w:sz w:val="22"/>
        </w:rPr>
        <w:t>Worthy Rivals</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 acknowledges competitive dynamics in neuropsychiatry and frames its strategy around improving patient outcomes rather than destroying competitors [2]. The partnership with Stoke Therapeutics for RNA-based medicines and collaboration model with Neuren Pharmaceuticals shows willingness to learn from and work with external expertise. (1/1 point)</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ACADIA has incrementally expanded from a single-product company (NUPLAZID, 2016) to a two-product rare disease platform with DAYBUE (2023), but this represents adjacency expansion rather than transformative reinvention [1]. The company remains narrowly focused on neuropsychiatric and neurorare conditions. Too young and small to have faced a true existential pivot test. (0/2 points)</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board showed courage in bringing in Catherine Owen Adams as CEO with significant large-pharma experience (BMS, J&amp;J) to professionalize commercial operations and set a five-year growth roadmap [3]. ACADIA's pursuit of Rett syndrome (an ultra-rare disease with ~15,000 US patients) when it could have focused solely on broader Parkinson's markets demonstrates willingness to invest in underserved populations. (1/2 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ACADIA crossed the $1B revenue milestone in 2025, growing 12% YoY with two monopoly-position products: NUPLAZID ($760-$790M 2026 guidance) for Parkinson's disease psychosis and DAYBUE for Rett syndrome [1]. The company boasts exceptional profitability with 36.5% profit margins, 39.9% ROE, and a near-debt-free balance sheet (D/E 4.3%), rare for a mid-cap biotech [5]. Management projects combined 2028 net sales of approximately $1.7B, implying a ~17% revenue CAGR from 2025 [1]. New CEO Catherine Owen Adams brings deep commercial expertise from BMS and J&amp;J, and the Phase 2 pipeline (remlifanserin for Alzheimer's psychosis, ACP-211 for depression) could further broaden the franchise.</w:t>
      </w:r>
    </w:p>
    <w:p>
      <w:pPr>
        <w:spacing w:after="120"/>
      </w:pPr>
      <w:r>
        <w:rPr>
          <w:rFonts w:ascii="Calibri" w:hAnsi="Calibri"/>
          <w:b w:val="0"/>
          <w:color w:val="3A4A28"/>
          <w:sz w:val="20"/>
        </w:rPr>
        <w:t>The bear case centers on concentrated product risk and decelerating growth. NUPLAZID faces potential generic competition as patents expire, and a 2023 investor lawsuit alleged the company misled investors about the drug's expanded-use prospects [4]. Forward PEG of 50.9x signals Wall Street expects sharp earnings growth deceleration, and the trailing P/E of 9.6x versus forward P/E of 24.1x reflects a one-time earnings spike from DAYBUE launch that may not recur [5]. Revenue growth slowed from 32% (2023) to 12% (2025) as DAYBUE's launch ramp normalizes. ACADIA has only 796 employees and remains dependent on licensing (Neuren for trofinetide) rather than fully internal innovation. Pipeline risk is significant — failure in the Alzheimer's psychosis or depression programs would narrow the growth runway. The $3.8B market cap provides limited margin of safety if growth disappoints.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NUPLAZID volume acceleration with Q4 2025 volume up 13% sequentially, guided to $760-$790M in 2026 net sales as physician awareness of Parkinson's psychosis treatment grows [1]</w:t>
      </w:r>
    </w:p>
    <w:p>
      <w:pPr>
        <w:spacing w:before="40" w:after="40"/>
        <w:ind w:left="283"/>
      </w:pPr>
      <w:r>
        <w:rPr>
          <w:rFonts w:ascii="Calibri" w:hAnsi="Calibri"/>
          <w:b/>
          <w:color w:val="4A6B25"/>
          <w:sz w:val="20"/>
        </w:rPr>
        <w:t xml:space="preserve">2. </w:t>
      </w:r>
      <w:r>
        <w:rPr>
          <w:rFonts w:ascii="Calibri" w:hAnsi="Calibri"/>
          <w:b w:val="0"/>
          <w:color w:val="3A4A28"/>
          <w:sz w:val="20"/>
        </w:rPr>
        <w:t>Phase 2 data readouts for remlifanserin (Alzheimer's disease psychosis) and ACP-211 (major depressive disorder) could significantly expand ACADIA's addressable market [2]</w:t>
      </w:r>
    </w:p>
    <w:p>
      <w:pPr>
        <w:spacing w:before="40" w:after="40"/>
        <w:ind w:left="283"/>
      </w:pPr>
      <w:r>
        <w:rPr>
          <w:rFonts w:ascii="Calibri" w:hAnsi="Calibri"/>
          <w:b/>
          <w:color w:val="4A6B25"/>
          <w:sz w:val="20"/>
        </w:rPr>
        <w:t xml:space="preserve">3. </w:t>
      </w:r>
      <w:r>
        <w:rPr>
          <w:rFonts w:ascii="Calibri" w:hAnsi="Calibri"/>
          <w:b w:val="0"/>
          <w:color w:val="3A4A28"/>
          <w:sz w:val="20"/>
        </w:rPr>
        <w:t>Management's $1.7B combined 2028 revenue target provides a clear growth roadmap, with new CEO Owen Adams bringing BMS/J&amp;J commercial execution capability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Concentrated product risk — NUPLAZID and DAYBUE represent nearly all revenue, and patent expirations or competitive entries in Parkinson's psychosis could compress the franchise [1]</w:t>
      </w:r>
    </w:p>
    <w:p>
      <w:pPr>
        <w:spacing w:before="40" w:after="40"/>
        <w:ind w:left="283"/>
      </w:pPr>
      <w:r>
        <w:rPr>
          <w:rFonts w:ascii="Calibri" w:hAnsi="Calibri"/>
          <w:b/>
          <w:color w:val="4A6B25"/>
          <w:sz w:val="20"/>
        </w:rPr>
        <w:t xml:space="preserve">2. </w:t>
      </w:r>
      <w:r>
        <w:rPr>
          <w:rFonts w:ascii="Calibri" w:hAnsi="Calibri"/>
          <w:b w:val="0"/>
          <w:color w:val="3A4A28"/>
          <w:sz w:val="20"/>
        </w:rPr>
        <w:t>Forward PEG of 50.9x signals Wall Street expects significant earnings growth deceleration, creating downside risk if revenue growth slows below the guided $1.22-$1.28B for 2026 [5]</w:t>
      </w:r>
    </w:p>
    <w:p>
      <w:pPr>
        <w:spacing w:before="40" w:after="40"/>
        <w:ind w:left="283"/>
      </w:pPr>
      <w:r>
        <w:rPr>
          <w:rFonts w:ascii="Calibri" w:hAnsi="Calibri"/>
          <w:b/>
          <w:color w:val="4A6B25"/>
          <w:sz w:val="20"/>
        </w:rPr>
        <w:t xml:space="preserve">3. </w:t>
      </w:r>
      <w:r>
        <w:rPr>
          <w:rFonts w:ascii="Calibri" w:hAnsi="Calibri"/>
          <w:b w:val="0"/>
          <w:color w:val="3A4A28"/>
          <w:sz w:val="20"/>
        </w:rPr>
        <w:t>Pipeline binary risk — Phase 2 failures in Alzheimer's psychosis or depression programs would narrow the growth runway for a company with only two commercial products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ACADIA's core business — commercializing FDA-approved neuropsychiatric drugs — is protected by regulatory moats (FDA approval processes, patent exclusivity, clinical trial requirements) that AI cannot bypass [3]. Drug manufacturing and the physician-patient relationship for prescribing psychosis and rare disease medications involve physical and regulatory processes that are AI-resistant. However, AI-driven drug discovery platforms from larger competitors could accelerate development of competing molecules in ACADIA's therapeutic areas, creating moderate long-term substitution risk for future pipeline competitiveness. AI Opportunity (1/1): ACADIA is deploying AI for clinical trial site selection, patient recruitment, and real-world evidence analysis to enhance its commercial reach for NUPLAZID and DAYBUE, generating measurable operational efficiency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22</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ACADIA Pharmaceuticals Q4/FY2025 Earnings Release — $1.07B revenue, 12% growth, 2026 guidance $1.22-$1.28B, February 2026</w:t>
      </w:r>
    </w:p>
    <w:p>
      <w:pPr>
        <w:spacing w:before="20" w:after="20"/>
        <w:ind w:left="170"/>
      </w:pPr>
      <w:r>
        <w:rPr>
          <w:rFonts w:ascii="Calibri" w:hAnsi="Calibri"/>
          <w:b/>
          <w:color w:val="4A6B25"/>
          <w:sz w:val="15"/>
        </w:rPr>
        <w:t xml:space="preserve">2. </w:t>
      </w:r>
      <w:r>
        <w:rPr>
          <w:rFonts w:ascii="Calibri" w:hAnsi="Calibri"/>
          <w:b w:val="0"/>
          <w:color w:val="3A4A28"/>
          <w:sz w:val="17"/>
        </w:rPr>
        <w:t>Seeking Alpha — Acadia outlines 2026 revenue target and advancing DAYBUE/NUPLAZID growth, February 2026</w:t>
      </w:r>
    </w:p>
    <w:p>
      <w:pPr>
        <w:spacing w:before="20" w:after="20"/>
        <w:ind w:left="170"/>
      </w:pPr>
      <w:r>
        <w:rPr>
          <w:rFonts w:ascii="Calibri" w:hAnsi="Calibri"/>
          <w:b/>
          <w:color w:val="4A6B25"/>
          <w:sz w:val="15"/>
        </w:rPr>
        <w:t xml:space="preserve">3. </w:t>
      </w:r>
      <w:r>
        <w:rPr>
          <w:rFonts w:ascii="Calibri" w:hAnsi="Calibri"/>
          <w:b w:val="0"/>
          <w:color w:val="3A4A28"/>
          <w:sz w:val="17"/>
        </w:rPr>
        <w:t>Acadia Pharmaceuticals CEO interview on AI strategy, rebranding, and culture — MM&amp;M Online; Glassdoor reviews (4.1/5 rating)</w:t>
      </w:r>
    </w:p>
    <w:p>
      <w:pPr>
        <w:spacing w:before="20" w:after="20"/>
        <w:ind w:left="170"/>
      </w:pPr>
      <w:r>
        <w:rPr>
          <w:rFonts w:ascii="Calibri" w:hAnsi="Calibri"/>
          <w:b/>
          <w:color w:val="4A6B25"/>
          <w:sz w:val="15"/>
        </w:rPr>
        <w:t xml:space="preserve">4. </w:t>
      </w:r>
      <w:r>
        <w:rPr>
          <w:rFonts w:ascii="Calibri" w:hAnsi="Calibri"/>
          <w:b w:val="0"/>
          <w:color w:val="3A4A28"/>
          <w:sz w:val="17"/>
        </w:rPr>
        <w:t>Bloomberg Law — Drugmaker Acadia investor lawsuit on stock drop claims; Acadia Corporate Social Responsibility page</w:t>
      </w:r>
    </w:p>
    <w:p>
      <w:pPr>
        <w:spacing w:before="20" w:after="20"/>
        <w:ind w:left="170"/>
      </w:pPr>
      <w:r>
        <w:rPr>
          <w:rFonts w:ascii="Calibri" w:hAnsi="Calibri"/>
          <w:b/>
          <w:color w:val="4A6B25"/>
          <w:sz w:val="15"/>
        </w:rPr>
        <w:t xml:space="preserve">5. </w:t>
      </w:r>
      <w:r>
        <w:rPr>
          <w:rFonts w:ascii="Calibri" w:hAnsi="Calibri"/>
          <w:b w:val="0"/>
          <w:color w:val="3A4A28"/>
          <w:sz w:val="17"/>
        </w:rPr>
        <w:t>Yahoo Finance / yfinance data for ACAD (ACADIA Pharmaceuticals), retrieved April 24,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