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ACB</w:t>
      </w:r>
      <w:r>
        <w:rPr>
          <w:rFonts w:ascii="Calibri" w:hAnsi="Calibri"/>
          <w:b/>
          <w:color w:val="1A2010"/>
          <w:sz w:val="40"/>
        </w:rPr>
        <w:t xml:space="preserve">  Aurora Cannabis Inc.</w:t>
      </w:r>
    </w:p>
    <w:p>
      <w:pPr>
        <w:spacing w:after="120"/>
      </w:pPr>
      <w:r>
        <w:rPr>
          <w:rFonts w:ascii="Calibri" w:hAnsi="Calibri"/>
          <w:b/>
          <w:color w:val="6E8450"/>
          <w:sz w:val="18"/>
        </w:rPr>
        <w:t>GROWTH SLEEVE · 2026-05-04 · Inspire: -38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NASDAQ · Canada</w:t>
      </w:r>
    </w:p>
    <w:p>
      <w:pPr>
        <w:spacing w:after="80"/>
      </w:pPr>
      <w:r>
        <w:rPr>
          <w:rFonts w:ascii="Calibri" w:hAnsi="Calibri"/>
          <w:b w:val="0"/>
          <w:color w:val="3A4A28"/>
          <w:sz w:val="20"/>
        </w:rPr>
        <w:t>Aurora Cannabis Inc. produces, distributes, and sells cannabis and cannabis-derivative products in Canada and internationally. The company operates through Canadian Cannabis and Plant Propagation segments, offering pharmaceutical-grade and consumer cannabis products including dried flower, oils, concentrates, edibles, and topicals. Brand portfolio includes San Rafael '71, Greybeard, Daily Special, MedReleaf, and international brands Pedanios and Bidiol. Founded in 2013 and headquartered in Edmonton, Canada.</w:t>
      </w:r>
    </w:p>
    <w:p>
      <w:r>
        <w:rPr>
          <w:rFonts w:ascii="Calibri" w:hAnsi="Calibri"/>
          <w:b/>
          <w:color w:val="6E8450"/>
          <w:sz w:val="18"/>
        </w:rPr>
        <w:t>https://www.auroramj.com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Aurora achieved record medical cannabis revenue of $76.2M in Q3 FY2026 (12% YoY growth) and guided to $269-281M in annual medical cannabis revenue, demonstrating consistent growth in its core segment [1]. However, the broader story is one of severe value destruction — from a peak market cap of ~$10B+ to $206M today through massive dilution, failed acquisitions, and the collapse of the Canadian consumer cannabis market. AI Deployment (0/2): No AI-powered products or AI-driven operational improvements. Cannabis cultivation and distribution is a physical agricultural and logistics operation. Market Share (1/2): Aurora is a leading Canadian licensed producer with meaningful international medical cannabis market share, particularly in Germany and Australia [1]. However, the Canadian consumer market remains commoditized with persistent oversupply and pricing pressure. Pipeline (0/2): No visible next-generation product pipeline or transformative business model innovation. The company's growth strategy relies on geographic expansion of existing medical cannabis products rather than new product categories [1]. R&amp;D Intensity (1/1): Investment in pharmaceutical-grade cannabis production and international regulatory submissions exceeds commodity cannabis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Aurora's website presents a generic cannabis company mission focused on 'helping people improve their lives through quality cannabis' — interchangeable with any licensed producer in Canada [2]. Community Impact (0/2): No evidence of distinctive charitable programs or community investment. The 2017 pesticide contamination recall and broader industry concerns about environmental impact from indoor cannabis cultivation undermine community trust [3]. Employee Retention (0/2): Glassdoor rating of 3.1/5.0 with culture and values rated 2.6/5.0 and career opportunities 2.4/5.0 — significantly below average [2]. Employee complaints note CEO Martin is based in the US and has not visited Canadian offices where most staff work. Insider Buying (1/2): CEO Miguel Martin expanded his role to executive chairman in September 2024, maintaining equity alignment. No evidence of significant recent insider selling, but no notable insider purchasing activity either.</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from available metrics. D/E of 17.8% scores 1.0 — relatively low leverage with $108M cash against $101M debt [1][4]. ROE of -15.5% scores 0.0 — the company remains unprofitable on a trailing basis despite positive adjusted EBITDA [4]. Revenue growth YoY of 6.8% scores 0.89, reflecting steady medical cannabis segment growth but below the 10% target. Forward P/E is negative (-31.6x) and excluded as the company is expected to remain unprofitable near-term. Profit margin of -22.5% scores 0.0, reflecting continued GAAP losses from impairments and restructuring despite operational improvement [4]. PEG ratio unavailable, excluded. Liquidity floor passes: 998K avg volume × $3.48 = $3.5M daily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Aurora Cannabis epitomizes finite game thinking through its history of empire-building acquisitions funded by massive shareholder dilution, pursuit of revenue growth at any cost during the 2018-2019 cannabis bubble, and subsequent years of restructuring, impairments, and value destruction. CEO Martin's appointment in 2020 brought operational discipline, but the damage from finite thinking — peak market cap ~$10B+ reduced to $206M — cannot be undone. The company plays to survive rather than to advance a just cause.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Aurora does not have a just cause in Sinek's framework. The company exists to produce and sell cannabis — there is no articulated vision of a better future that transcends the product category [2]. The mission is commercial, not aspirational. Strategic decisions have been driven by market opportunity and financial engineering (dilutive acquisitions, share consolidations) rather than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3.1/5.0 with culture and values at 2.6/5.0 indicates a low-trust environment [2]. Multiple rounds of layoffs through restructuring (headcount reduced from thousands to current levels), CEO based in the US rarely visiting Canadian operations, and career opportunities rated 2.4/5.0 all signal organizational instability and low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Aurora acknowledging competitors' strengths or learning from rivalry. The company's competitive narrative has historically been about market share, production capacity, and revenue leadership — classic finite game language focused on winning rather than improving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Aurora pivoted from aggressive Canadian consumer market growth to international medical cannabis focus after the consumer market commoditized, demonstrating strategic flexibility [1]. The plant propagation business diversification and international expansion (Germany, Australia) show adaptation. However, these pivots were driven by desperation (consumer market collapse) rather than proactive cause-driven transformation.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Aurora's history is characterized by short-term financial optimization — massive dilutive acquisitions during the bubble ($2.5B MedReleaf acquisition), followed by years of impairments and write-downs, followed by share consolidations to maintain NASDAQ listing [3]. CEO Martin has brought operational discipline since 2020, achieving positive adjusted EBITDA, but this is survival management, not courageous long-term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Aurora Cannabis has successfully pivoted to become an international medical cannabis leader, delivering record medical revenue of $76.2M in Q3 FY2026 (12% YoY growth) with guidance for $269-281M annually [1]. Adjusted EBITDA of $52-57M expected for FY2026 demonstrates operational improvement under CEO Martin's restructuring. The company holds $108M cash against $101M debt and consolidated adjusted gross margin of 62% reflects a higher-quality medical-focused business model compared to consumer cannabis peers [1]. Potential US federal rescheduling or banking reform could catalyze a re-rating of the entire cannabis sector, and Aurora's medical focus positions it well for any regulatory shift toward pharmaceutical-grade standards.</w:t>
      </w:r>
    </w:p>
    <w:p>
      <w:pPr>
        <w:spacing w:after="120"/>
      </w:pPr>
      <w:r>
        <w:rPr>
          <w:rFonts w:ascii="Calibri" w:hAnsi="Calibri"/>
          <w:b w:val="0"/>
          <w:color w:val="3A4A28"/>
          <w:sz w:val="20"/>
        </w:rPr>
        <w:t>The bear case remains severe: Aurora trades at a $206M market cap after destroying ~$10B+ in shareholder value through dilutive acquisitions, impairments, and reverse stock splits [4]. GAAP net income remains deeply negative (-22.5% profit margin) despite positive adjusted EBITDA, meaning the 'profitability' is an adjusted metric that excludes real cash costs. ROE of -15.5% reflects ongoing value destruction. The Canadian cannabis market suffers from structural oversupply and pricing compression that shows no sign of abating. US federal legalization remains uncertain and could benefit US-based MSOs more than Canadian LPs like Aurora. Forward P/E is negative (-31.6x), meaning no near-term GAAP profitability is expected. Revenue growth of 6.8% is below the cannabis sector's growth potential, suggesting Aurora is taking share slowly in a challenged market. The history of shareholder dilution creates persistent discount risk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US federal cannabis rescheduling or banking reform (SAFE Banking Act) could catalyze sector-wide re-rating and enable Aurora's international medical cannabis infrastructure to access the US market [1]</w:t>
      </w:r>
    </w:p>
    <w:p>
      <w:pPr>
        <w:spacing w:before="40" w:after="40"/>
        <w:ind w:left="283"/>
      </w:pPr>
      <w:r>
        <w:rPr>
          <w:rFonts w:ascii="Calibri" w:hAnsi="Calibri"/>
          <w:b/>
          <w:color w:val="4A6B25"/>
          <w:sz w:val="20"/>
        </w:rPr>
        <w:t xml:space="preserve">2. </w:t>
      </w:r>
      <w:r>
        <w:rPr>
          <w:rFonts w:ascii="Calibri" w:hAnsi="Calibri"/>
          <w:b w:val="0"/>
          <w:color w:val="3A4A28"/>
          <w:sz w:val="20"/>
        </w:rPr>
        <w:t>International medical cannabis expansion — 12% growth in global medical revenue could accelerate as Germany, Australia, and new markets liberalize medical cannabis regulations [1]</w:t>
      </w:r>
    </w:p>
    <w:p>
      <w:pPr>
        <w:spacing w:before="40" w:after="40"/>
        <w:ind w:left="283"/>
      </w:pPr>
      <w:r>
        <w:rPr>
          <w:rFonts w:ascii="Calibri" w:hAnsi="Calibri"/>
          <w:b/>
          <w:color w:val="4A6B25"/>
          <w:sz w:val="20"/>
        </w:rPr>
        <w:t xml:space="preserve">3. </w:t>
      </w:r>
      <w:r>
        <w:rPr>
          <w:rFonts w:ascii="Calibri" w:hAnsi="Calibri"/>
          <w:b w:val="0"/>
          <w:color w:val="3A4A28"/>
          <w:sz w:val="20"/>
        </w:rPr>
        <w:t>Continued adjusted EBITDA improvement toward $52-57M FY2026 guidance could eventually convert to GAAP profitability, removing a key investor objection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GAAP losses despite positive adjusted EBITDA — -22.5% profit margin and -15.5% ROE mean real value destruction continues even as operational metrics improve [4]</w:t>
      </w:r>
    </w:p>
    <w:p>
      <w:pPr>
        <w:spacing w:before="40" w:after="40"/>
        <w:ind w:left="283"/>
      </w:pPr>
      <w:r>
        <w:rPr>
          <w:rFonts w:ascii="Calibri" w:hAnsi="Calibri"/>
          <w:b/>
          <w:color w:val="4A6B25"/>
          <w:sz w:val="20"/>
        </w:rPr>
        <w:t xml:space="preserve">2. </w:t>
      </w:r>
      <w:r>
        <w:rPr>
          <w:rFonts w:ascii="Calibri" w:hAnsi="Calibri"/>
          <w:b w:val="0"/>
          <w:color w:val="3A4A28"/>
          <w:sz w:val="20"/>
        </w:rPr>
        <w:t>Canadian cannabis market structural oversupply and pricing compression — consumer cannabis remains commoditized with no pricing power, limiting upside even as medical grows [3]</w:t>
      </w:r>
    </w:p>
    <w:p>
      <w:pPr>
        <w:spacing w:before="40" w:after="40"/>
        <w:ind w:left="283"/>
      </w:pPr>
      <w:r>
        <w:rPr>
          <w:rFonts w:ascii="Calibri" w:hAnsi="Calibri"/>
          <w:b/>
          <w:color w:val="4A6B25"/>
          <w:sz w:val="20"/>
        </w:rPr>
        <w:t xml:space="preserve">3. </w:t>
      </w:r>
      <w:r>
        <w:rPr>
          <w:rFonts w:ascii="Calibri" w:hAnsi="Calibri"/>
          <w:b w:val="0"/>
          <w:color w:val="3A4A28"/>
          <w:sz w:val="20"/>
        </w:rPr>
        <w:t>History of catastrophic shareholder dilution — market cap declined from ~$10B+ to $206M through acquisitions, impairments, and reverse splits; further dilution risk remains if GAAP losses persist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Cannabis cultivation, processing, and distribution is a physical agricultural operation that AI cannot replicate or substitute [4]. Growing plants requires greenhouses, water, nutrients, and labor; distribution requires cold-chain logistics and regulatory compliance across multiple jurisdictions. The pharmaceutical-grade cannabis market adds further protection through Health Canada and international regulatory requirements that demand physical facility inspections and batch-level quality testing. Cannabis consumption is an inherently human activity. AI Opportunity (0/1): No AI-generated revenue. Aurora is a pure cannabis producer with no AI products, services, or quantifiable AI-driven efficiency gains.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-38</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Cannabis: Cultivation </w:t>
      </w:r>
      <w:r>
        <w:rPr>
          <w:rFonts w:ascii="Calibri" w:hAnsi="Calibri"/>
          <w:b w:val="0"/>
          <w:color w:val="9DAF88"/>
          <w:sz w:val="17"/>
        </w:rPr>
        <w:t xml:space="preserve">  ·  </w:t>
      </w:r>
      <w:r>
        <w:rPr>
          <w:rFonts w:ascii="Calibri" w:hAnsi="Calibri"/>
          <w:b/>
          <w:color w:val="DC2626"/>
          <w:sz w:val="17"/>
        </w:rPr>
        <w:t xml:space="preserve"> Cannabis: THC Retail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Aurora Cannabis Q2-Q3 FY2026 Earnings Releases — record medical revenue $76.2M, 12% YoY growth, $269-281M annual guidance, adjusted EBITDA $52-57M, 2025-2026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(292 reviews, 3.1/5.0 rating), Comparably culture data, Aurora Cannabis leadership team information, accessed May 2026</w:t>
      </w:r>
    </w:p>
    <w:p>
      <w:pPr>
        <w:spacing w:before="20" w:after="20"/>
        <w:ind w:left="170"/>
      </w:pPr>
      <w:r>
        <w:rPr>
          <w:rFonts w:ascii="Calibri" w:hAnsi="Calibri"/>
          <w:b/>
          <w:color w:val="4A6B25"/>
          <w:sz w:val="15"/>
        </w:rPr>
        <w:t xml:space="preserve">3. </w:t>
      </w:r>
      <w:r>
        <w:rPr>
          <w:rFonts w:ascii="Calibri" w:hAnsi="Calibri"/>
          <w:b w:val="0"/>
          <w:color w:val="3A4A28"/>
          <w:sz w:val="17"/>
        </w:rPr>
        <w:t>Aurora Cannabis ESG Policy, Sustainalytics ESG Risk Rating, 2017 pesticide recall history, Cannabis Business Times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ACB key statistics and financial data,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