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ACDC</w:t>
      </w:r>
      <w:r>
        <w:rPr>
          <w:rFonts w:ascii="Calibri" w:hAnsi="Calibri"/>
          <w:b/>
          <w:color w:val="1A2010"/>
          <w:sz w:val="40"/>
        </w:rPr>
        <w:t xml:space="preserve">  ProFrac Holding Corp.</w:t>
      </w:r>
    </w:p>
    <w:p>
      <w:pPr>
        <w:spacing w:after="120"/>
      </w:pPr>
      <w:r>
        <w:rPr>
          <w:rFonts w:ascii="Calibri" w:hAnsi="Calibri"/>
          <w:b/>
          <w:color w:val="6E8450"/>
          <w:sz w:val="18"/>
        </w:rPr>
        <w:t>GROWTH SLEEVE · 2026-04-30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ProFrac Holding Corp. operates as a technology-focused energy services holding company providing hydraulic fracturing, proppant production, well stimulation, and complementary completion services to upstream oil and gas companies in the United States. The company operates through Stimulation Services, Proppant Production, Manufacturing, and Flotek Industries segments.</w:t>
      </w:r>
    </w:p>
    <w:p>
      <w:r>
        <w:rPr>
          <w:rFonts w:ascii="Calibri" w:hAnsi="Calibri"/>
          <w:b/>
          <w:color w:val="6E8450"/>
          <w:sz w:val="18"/>
        </w:rPr>
        <w:t>2,280 Employees · https://www.pfholdingscorp.com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ProFrac has expanded through acquisitions (Flotek Industries) and fleet modernization, converting to electric and dual-fuel frac fleets, but revenue has declined from $2.63B in 2023 to $1.94B in 2025, indicating the expansions have not driven growth [1][2]. AI Deployment (0/2): No evidence of AI-powered products or quantified AI-driven cost savings in ProFrac's operations or service offerings [3]. Market Share (1/2): ProFrac is a meaningful player in North American pressure pumping with active fleet count increasing 25% from Q4 2024 trough, but remains behind Halliburton and Liberty Energy in market share [1]. Pipeline (1/2): The company has invested in next-generation electric frac fleets and geothermal applications, but specific product launch timelines with revenue visibility are lacking [3]. R&amp;D Intensity (1/1): ProFrac brands itself as technology-focused and invests in custom-built electric fleets and dual-fuel solutions, above average for oilfield services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ProFrac's stated purpose is to 'put people with real field experience in charge of building the next generation of frac services' — practical but generic, interchangeable with any oilfield services peer [3]. Community Impact (0/2): No evidence of charitable programs, foundation, or community investment initiatives beyond standard operations [4]. Employee Retention (0/2): Glassdoor shows only 42% positive business outlook; employee reviews on Indeed cite mandatory overtime, unrealistic expectations, and lack of direction — suggesting a low-trust, high-turnover environment [3]. Insider Buying (2/2): Significant insider buying — Farris Wilks purchased $10M of stock at $4.00/share in August 2025, and Matt Wilks bought $165K in September 2025, demonstrating meaningful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ProFrac's financial profile is severely stressed. The company posted a $208M net loss in 2024 on $2.19B revenue (-16.7% YoY), with -19% profit margins and -35.2% ROE [1][2]. D/E of 134.6% with $1.11B debt against only $15M cash creates significant balance sheet risk [2]. Forward P/E is negative (-9.9x) as analysts project continued losses of -$2.22 EPS in 2025 and -$1.41 in 2026 [6]. Revenue has declined from $2.63B (2023) to an estimated $1.94B (2025), a 3-year CAGR of -7.1%. Free cash flow of $185M in 2024 is a bright spot but insufficient to offset the structural earnings losses. Liquidity of $81M is thin for a $2B revenue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ProFrac exhibits predominantly finite game characteristics. The Wilks family maintains tight control through a dual-class share structure optimized for family wealth preservation rather than a Just Cause. The company's growth-by-acquisition strategy (Flotek, multiple proppant assets) prioritizes scale and market share over building enduring capability, and the rapid revenue decline from $2.63B to $1.94B suggests the strategy hasn't created lasting competitive advantage.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ProFrac's purpose — 'putting people with field experience in charge' — is operational rather than aspirational [3]. It describes how the company operates, not a vision of a better future. The Wilks family's dual-class structure and insider control suggest the company exists primarily to serve ownership interests rather than advance an enduring cause.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sentiment is weak. Glassdoor shows only 42% positive business outlook, and Indeed reviews cite mandatory overtime, lack of direction, and unrealistic expectations [3]. The oilfield services industry generally has high turnover, and ProFrac does not appear to differentiate itself on culture. Family control of the board and management may limit empowerment of non-family leaders.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ProFrac's competitive language focuses on 'next generation' technology and fleet modernization, but positions itself against Halliburton and Liberty primarily through cost and scale rather than learning from rivals' strengths [3]. The acquisition strategy (buying Flotek, proppant assets) is about accumulating competitive resources rather than improving through competitive dynamics.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ProFrac has shown some strategic flexibility — entering geothermal applications, converting to electric frac fleets, and acquiring Flotek for chemistry capabilities [3]. These represent incremental evolution within the energy services space rather than transformative reinvention. The vertical integration strategy (pumping + proppant + manufacturing) shows adaptive thinking but remains within the oilfield services paradigm.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Wilks family has invested heavily in fleet modernization and the electric frac transition during a weak market, with $250-300M capex guided for 2025 despite net losses [2]. Farris Wilks' $10M insider purchase at $4.00/share signals conviction. However, the $1.11B debt load and thin $81M liquidity suggest these bets are partly forced by competitive necessity rather than purely courageous strategic choice.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ProFrac offers exposure to North American hydraulic fracturing with a vertically integrated model spanning stimulation services ($1.91B revenue), proppant production ($247M, 35% EBITDA margin), and manufacturing [2]. The Wilks family's $10M+ insider purchases signal conviction in a recovery, and active fleet count has rebounded 25% from Q4 2024 lows [1]. Free cash flow of $185M in 2024 despite a net loss provides some financial flexibility. The electric frac fleet transition and geothermal applications position the company for the energy transition within oilfield services.</w:t>
      </w:r>
    </w:p>
    <w:p>
      <w:pPr>
        <w:spacing w:after="120"/>
      </w:pPr>
      <w:r>
        <w:rPr>
          <w:rFonts w:ascii="Calibri" w:hAnsi="Calibri"/>
          <w:b w:val="0"/>
          <w:color w:val="3A4A28"/>
          <w:sz w:val="20"/>
        </w:rPr>
        <w:t>The bear case is severe. Revenue has declined from $2.63B (2023) to $1.94B (2025), a 26% drop in two years, as U.S. completion activity weakened [1][2]. The company is deeply unprofitable with a $208M net loss in 2024 and analysts projecting continued losses through 2026 (-$1.41 EPS) [6]. The $1.11B debt load against only $15M cash and $81M liquidity creates refinancing risk, particularly if oilfield activity does not recover. The analyst consensus is 'Sell' with an average price target of $5.50, implying 28% downside from current levels [6]. ProFrac operates in a cyclical, commoditized industry where pricing power is limited and recovery timing depends on oil prices and E&amp;P capital discipline beyond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completions activity recovery — active fleet count already up 25% from Q4 2024 trough; sustained improvement would drive revenue and margin recovery [1]</w:t>
      </w:r>
    </w:p>
    <w:p>
      <w:pPr>
        <w:spacing w:before="40" w:after="40"/>
        <w:ind w:left="283"/>
      </w:pPr>
      <w:r>
        <w:rPr>
          <w:rFonts w:ascii="Calibri" w:hAnsi="Calibri"/>
          <w:b/>
          <w:color w:val="4A6B25"/>
          <w:sz w:val="20"/>
        </w:rPr>
        <w:t xml:space="preserve">2. </w:t>
      </w:r>
      <w:r>
        <w:rPr>
          <w:rFonts w:ascii="Calibri" w:hAnsi="Calibri"/>
          <w:b w:val="0"/>
          <w:color w:val="3A4A28"/>
          <w:sz w:val="20"/>
        </w:rPr>
        <w:t>Electric frac fleet commercialization and geothermal applications creating new revenue streams beyond traditional oil &amp; gas completions [3]</w:t>
      </w:r>
    </w:p>
    <w:p>
      <w:pPr>
        <w:spacing w:before="40" w:after="40"/>
        <w:ind w:left="283"/>
      </w:pPr>
      <w:r>
        <w:rPr>
          <w:rFonts w:ascii="Calibri" w:hAnsi="Calibri"/>
          <w:b/>
          <w:color w:val="4A6B25"/>
          <w:sz w:val="20"/>
        </w:rPr>
        <w:t xml:space="preserve">3. </w:t>
      </w:r>
      <w:r>
        <w:rPr>
          <w:rFonts w:ascii="Calibri" w:hAnsi="Calibri"/>
          <w:b w:val="0"/>
          <w:color w:val="3A4A28"/>
          <w:sz w:val="20"/>
        </w:rPr>
        <w:t>Frac pricing stabilization after gradual declines through 2024, with management noting pricing has flattened entering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 weakness below $60/bbl would further reduce E&amp;P completion spending, extending ProFrac's revenue and earnings decline beyond current projections [1]</w:t>
      </w:r>
    </w:p>
    <w:p>
      <w:pPr>
        <w:spacing w:before="40" w:after="40"/>
        <w:ind w:left="283"/>
      </w:pPr>
      <w:r>
        <w:rPr>
          <w:rFonts w:ascii="Calibri" w:hAnsi="Calibri"/>
          <w:b/>
          <w:color w:val="4A6B25"/>
          <w:sz w:val="20"/>
        </w:rPr>
        <w:t xml:space="preserve">2. </w:t>
      </w:r>
      <w:r>
        <w:rPr>
          <w:rFonts w:ascii="Calibri" w:hAnsi="Calibri"/>
          <w:b w:val="0"/>
          <w:color w:val="3A4A28"/>
          <w:sz w:val="20"/>
        </w:rPr>
        <w:t>Refinancing risk on $1.11B debt with only $81M liquidity and continued net losses; credit markets may demand punitive terms if oilfield conditions do not improve [2]</w:t>
      </w:r>
    </w:p>
    <w:p>
      <w:pPr>
        <w:spacing w:before="40" w:after="40"/>
        <w:ind w:left="283"/>
      </w:pPr>
      <w:r>
        <w:rPr>
          <w:rFonts w:ascii="Calibri" w:hAnsi="Calibri"/>
          <w:b/>
          <w:color w:val="4A6B25"/>
          <w:sz w:val="20"/>
        </w:rPr>
        <w:t xml:space="preserve">3. </w:t>
      </w:r>
      <w:r>
        <w:rPr>
          <w:rFonts w:ascii="Calibri" w:hAnsi="Calibri"/>
          <w:b w:val="0"/>
          <w:color w:val="3A4A28"/>
          <w:sz w:val="20"/>
        </w:rPr>
        <w:t>Analyst consensus 'Sell' rating with $5.50 price target implies meaningful downside; limited institutional sponsorship may keep the stock depressed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ProFrac's core business — hydraulic fracturing, proppant production, and heavy equipment manufacturing — is inherently physical-world and cannot be displaced by AI. Pressure pumping requires massive on-site equipment, trained crews, and real-time operational decisions in harsh field conditions. No analyst has identified AI as a substitution risk for oilfield services; if anything, AI optimization of drilling and completions could increase demand for more efficient frac services [3]. AI Opportunity (0/1): ProFrac does not generate revenue from AI products or services. While the company uses some data analytics in field operations, there is no quantifiable AI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ProFrac Holding Corp. Full Year and Q4 2024 Earnings Release, March 2025</w:t>
      </w:r>
    </w:p>
    <w:p>
      <w:pPr>
        <w:spacing w:before="20" w:after="20"/>
        <w:ind w:left="170"/>
      </w:pPr>
      <w:r>
        <w:rPr>
          <w:rFonts w:ascii="Calibri" w:hAnsi="Calibri"/>
          <w:b/>
          <w:color w:val="4A6B25"/>
          <w:sz w:val="15"/>
        </w:rPr>
        <w:t xml:space="preserve">2. </w:t>
      </w:r>
      <w:r>
        <w:rPr>
          <w:rFonts w:ascii="Calibri" w:hAnsi="Calibri"/>
          <w:b w:val="0"/>
          <w:color w:val="3A4A28"/>
          <w:sz w:val="17"/>
        </w:rPr>
        <w:t>ProFrac Holding Corp. FY2024 Financial Statements — revenue $2.19B, net loss $208M, total debt $1.11B</w:t>
      </w:r>
    </w:p>
    <w:p>
      <w:pPr>
        <w:spacing w:before="20" w:after="20"/>
        <w:ind w:left="170"/>
      </w:pPr>
      <w:r>
        <w:rPr>
          <w:rFonts w:ascii="Calibri" w:hAnsi="Calibri"/>
          <w:b/>
          <w:color w:val="4A6B25"/>
          <w:sz w:val="15"/>
        </w:rPr>
        <w:t xml:space="preserve">3. </w:t>
      </w:r>
      <w:r>
        <w:rPr>
          <w:rFonts w:ascii="Calibri" w:hAnsi="Calibri"/>
          <w:b w:val="0"/>
          <w:color w:val="3A4A28"/>
          <w:sz w:val="17"/>
        </w:rPr>
        <w:t>ProFrac Corporate Website — About Us, Leadership, Technology,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Risk Rating for ProFrac Holding Corp.,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SEC Form 4 Insider Transactions — Farris Wilks $10M purchase Aug 2025, Matt Wilks $165K purchase Sep 2025</w:t>
      </w:r>
    </w:p>
    <w:p>
      <w:pPr>
        <w:spacing w:before="20" w:after="20"/>
        <w:ind w:left="170"/>
      </w:pPr>
      <w:r>
        <w:rPr>
          <w:rFonts w:ascii="Calibri" w:hAnsi="Calibri"/>
          <w:b/>
          <w:color w:val="4A6B25"/>
          <w:sz w:val="15"/>
        </w:rPr>
        <w:t xml:space="preserve">6. </w:t>
      </w:r>
      <w:r>
        <w:rPr>
          <w:rFonts w:ascii="Calibri" w:hAnsi="Calibri"/>
          <w:b w:val="0"/>
          <w:color w:val="3A4A28"/>
          <w:sz w:val="17"/>
        </w:rPr>
        <w:t>StockAnalysis.com — ACDC analyst estimates, consensus Sell, $5.50 target,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