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ACGL</w:t>
      </w:r>
      <w:r>
        <w:rPr>
          <w:rFonts w:ascii="Calibri" w:hAnsi="Calibri"/>
          <w:b/>
          <w:color w:val="1A2010"/>
          <w:sz w:val="40"/>
        </w:rPr>
        <w:t xml:space="preserve">  Arch Capital Group Ltd.</w:t>
      </w:r>
    </w:p>
    <w:p>
      <w:pPr>
        <w:spacing w:after="120"/>
      </w:pPr>
      <w:r>
        <w:rPr>
          <w:rFonts w:ascii="Calibri" w:hAnsi="Calibri"/>
          <w:b/>
          <w:color w:val="6E8450"/>
          <w:sz w:val="18"/>
        </w:rPr>
        <w:t>GROWTH SLEEVE · 2026-04-19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NASDAQ · Bermuda</w:t>
      </w:r>
    </w:p>
    <w:p>
      <w:pPr>
        <w:spacing w:after="80"/>
      </w:pPr>
      <w:r>
        <w:rPr>
          <w:rFonts w:ascii="Calibri" w:hAnsi="Calibri"/>
          <w:b w:val="0"/>
          <w:color w:val="3A4A28"/>
          <w:sz w:val="20"/>
        </w:rPr>
        <w:t>Arch Capital Group is a Bermuda-based specialty insurance, reinsurance, and mortgage insurance company operating through three segments: Insurance (commercial auto, casualty, property, specialty), Reinsurance (casualty, property catastrophe, marine/aviation), and Mortgage (U.S. primary MI, credit-risk transfer, international). Founded in 1995, Arch serves customers globally through independent brokers.</w:t>
      </w:r>
    </w:p>
    <w:p>
      <w:r>
        <w:rPr>
          <w:rFonts w:ascii="Calibri" w:hAnsi="Calibri"/>
          <w:b/>
          <w:color w:val="6E8450"/>
          <w:sz w:val="18"/>
        </w:rPr>
        <w:t>8,000 Employees · https://www.archgroup.com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Arch Capital transformed from a niche specialty insurer into a diversified insurance powerhouse through disciplined underwriting and the strategic expansion into mortgage insurance, which now contributes significantly to profitability [1]. Revenue grew from $9.6B in 2022 to $19.9B in 2025, a 22% CAGR demonstrating successful market share capture. AI Deployment (1/2): Arch appointed Mountaga 'Monty' Aw as Chief Investment Risk Officer and Head of Quantitative Strategies, having previously served as Head of Industrial and Financial AI at G42, and Board member Ebong brings PayPal AI expertise [2]. These hires signal AI adoption for risk modeling, but no quantified AI-driven savings or products have been disclosed. Market Share (1/2): Arch is a top-tier specialty insurer with net written premiums growing 17% in North America casualty lines, gaining meaningful share in hard market conditions, though not a clear category leader against AIG, Chubb, or Berkshire [1]. Pipeline (1/2): Full-year 2025 after-tax operating income of $3.7B with 17.1% ROE demonstrates execution, and hard market conditions support continued premium growth, though the cycle may soften [1]. R&amp;D Intensity (1/1): Above-average investment in analytics, quantitative strategies, and underwriting technology relative to insurance peers, evidenced by hiring AI-focused leadership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Arch states it 'continually pursues innovation and improvement' and believes 'every product or process can be improved,' which reflects an operational excellence culture but does not articulate a deeper purpose beyond serving shareholders and clients [2]. Community Impact (1/2): Arch's sustainability program identifies five impact areas (Business, Operations, Investments, People, Communities) and publishes annual sustainability reports, demonstrating corporate commitment though specific charitable programs and dollar amounts were not detailed [3]. Employee Retention (2/2): Glassdoor rating of 4.3/5 with 84% of employees recommending the company and culture rated 4.3/5 — significantly above industry average. Employees describe top executives as 'accessible and willing to have conversations' with a supportive, collaborative environment [2]. Insider Buying (1/2): CEO transition from Marc Grandisson to Nicolas Papadopoulo in October 2024 was orderly and internal, with Papadopoulo having served as President since 2021, demonstrating leadership continuity and institutional commitment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 Capital's financial profile is exceptional across nearly every metric. D/E of 11.9% reflects a conservatively capitalized balance sheet for an insurer ($2.9B debt against significant equity) [4]. ROE of 19.5% and operating ROE of 17.1% demonstrate superior capital allocation and underwriting discipline [1]. Revenue of $19.9B grew 8.5% YoY (13.9% per annual financials) with a 22% 4-year CAGR driven by hard market premium expansion and mortgage insurance growth [1][4]. Profit margin of 22.1% with operating margins of 29.5% reflect underwriting profitability. Forward P/E of 9.7x at PEG 1.05x makes Arch one of the most attractively valued high-quality insurers in the market [4]. Operating cash flow of $6.2B provides substantial flexibility. Combined ratio of 82.8% demonstrates disciplined underwriting. Liquidity floor easily cleared at $189.3M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Arch Capital demonstrates strong infinite game characteristics through its 30+ year history of disciplined underwriting through insurance cycles, orderly leadership transitions, and a culture that earns 4.3/5 from employees. The company's willingness to reduce premiums when pricing is inadequate rather than chase volume reflects long-term thinking. However, the lack of a distinctive Just Cause beyond 'superior risk-adjusted returns' limits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Arch's purpose centers on disciplined underwriting excellence and innovation in risk management — genuine and consistently executed over 30 years, but fundamentally about financial performance rather than a vision of a better future [2]. The company's culture of 'continuous improvement' is lived out through cycle-after-cycle underwriting discipline but does not rise to the level of a transformative Just Cause. Score: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4.3/5 with 84% of employees recommending Arch, culture rated 4.3/5, and consistent commentary about accessible executives and supportive colleagues demonstrates a high-trust organization [2]. The orderly CEO transition from Grandisson to Papadopoulo without disruption confirms organizational stability. Score: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Arch's underwriting discipline is defined by learning from competitors' mistakes — when rivals underprice risk, Arch reduces volume rather than matching prices, using competitor behavior as a signal for its own strategy [1]. This is textbook infinite game competitor awareness.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Arch's expansion from specialty insurance into reinsurance and then mortgage insurance represents significant strategic evolution that diversified the business and created new profit pools [1]. The timing of the mortgage insurance entry and credit-risk transfer business showed strategic foresight. These were meaningful additions but within the broader insurance umbrella rather than transformative pivots.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 consistently demonstrates the courage to walk away from underpriced business — management has reduced premium volume multiple times when cycle pricing deteriorated rather than chasing growth [1]. This is a hallmark of long-term thinking in insurance. However, these decisions align with financial self-interest (avoiding bad risk) rather than representing costly principled stances.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Arch Capital is an exceptionally well-run specialty insurer trading at a deeply discounted valuation of 9.7x forward earnings (PEG 1.05x) despite delivering 19.5% ROE, 22% profit margins, and $6.2B operating cash flow [1][4]. The company's disciplined underwriting culture produced a combined ratio of 82.8% and $3.7B after-tax operating income in FY2025, with North America casualty premiums growing 17% [1]. Revenue has compounded at 22% over 4 years to $19.9B, driven by hard market conditions, mortgage insurance expansion, and credit-risk transfer business growth. The orderly CEO transition to Nicolas Papadopoulo (internal promotion) and industry-leading 4.3/5 Glassdoor culture ratings suggest organizational durability. AI-enhanced quantitative strategies under new leadership (former G42 AI head) position Arch for underwriting accuracy improvements.</w:t>
      </w:r>
    </w:p>
    <w:p>
      <w:pPr>
        <w:spacing w:after="120"/>
      </w:pPr>
      <w:r>
        <w:rPr>
          <w:rFonts w:ascii="Calibri" w:hAnsi="Calibri"/>
          <w:b w:val="0"/>
          <w:color w:val="3A4A28"/>
          <w:sz w:val="20"/>
        </w:rPr>
        <w:t>The bear case centers on insurance cycle risk and earnings normalization. The hard market that powered Arch's premium growth appears to be peaking, with some analysts flagging a combined ratio increase to 82.8% as early evidence of margin softening [1]. Catastrophe losses are inherently unpredictable — a single major hurricane or earthquake event could materially impact quarterly results and book value. The mortgage insurance segment is sensitive to housing market dynamics, and rising mortgage rates could slow origination volumes that feed the MI pipeline. Revenue growth decelerated from the 22% CAGR to 8.5% YoY, suggesting the rapid expansion phase may be ending [4]. Arch does not pay a dividend, returning capital primarily through buybacks, which offers less downside protection in a soft market. The Bermuda domicile, while tax-efficient, creates regulatory complexity and potential reputational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hard market conditions in specialty lines enabling premium growth and favorable loss ratios, with North America casualty premiums growing 17% and pending rate increases across property lines [1]</w:t>
      </w:r>
    </w:p>
    <w:p>
      <w:pPr>
        <w:spacing w:before="40" w:after="40"/>
        <w:ind w:left="283"/>
      </w:pPr>
      <w:r>
        <w:rPr>
          <w:rFonts w:ascii="Calibri" w:hAnsi="Calibri"/>
          <w:b/>
          <w:color w:val="4A6B25"/>
          <w:sz w:val="20"/>
        </w:rPr>
        <w:t xml:space="preserve">2. </w:t>
      </w:r>
      <w:r>
        <w:rPr>
          <w:rFonts w:ascii="Calibri" w:hAnsi="Calibri"/>
          <w:b w:val="0"/>
          <w:color w:val="3A4A28"/>
          <w:sz w:val="20"/>
        </w:rPr>
        <w:t>AI-enhanced underwriting and quantitative strategies deployment under new CIO/Head of Quant Strategies (former G42 AI head) could improve pricing accuracy and loss selection, widening competitive advantage [2]</w:t>
      </w:r>
    </w:p>
    <w:p>
      <w:pPr>
        <w:spacing w:before="40" w:after="40"/>
        <w:ind w:left="283"/>
      </w:pPr>
      <w:r>
        <w:rPr>
          <w:rFonts w:ascii="Calibri" w:hAnsi="Calibri"/>
          <w:b/>
          <w:color w:val="4A6B25"/>
          <w:sz w:val="20"/>
        </w:rPr>
        <w:t xml:space="preserve">3. </w:t>
      </w:r>
      <w:r>
        <w:rPr>
          <w:rFonts w:ascii="Calibri" w:hAnsi="Calibri"/>
          <w:b w:val="0"/>
          <w:color w:val="3A4A28"/>
          <w:sz w:val="20"/>
        </w:rPr>
        <w:t>Mortgage insurance segment benefiting from housing market stabilization and credit-risk transfer demand from Fannie Mae/Freddie Mac, providing counter-cyclical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Insurance cycle softening — combined ratio increased to 82.8% and revenue growth decelerated to 8.5% YoY, suggesting hard market tailwinds may be fading as competitors deploy capital into attractive lines [1]</w:t>
      </w:r>
    </w:p>
    <w:p>
      <w:pPr>
        <w:spacing w:before="40" w:after="40"/>
        <w:ind w:left="283"/>
      </w:pPr>
      <w:r>
        <w:rPr>
          <w:rFonts w:ascii="Calibri" w:hAnsi="Calibri"/>
          <w:b/>
          <w:color w:val="4A6B25"/>
          <w:sz w:val="20"/>
        </w:rPr>
        <w:t xml:space="preserve">2. </w:t>
      </w:r>
      <w:r>
        <w:rPr>
          <w:rFonts w:ascii="Calibri" w:hAnsi="Calibri"/>
          <w:b w:val="0"/>
          <w:color w:val="3A4A28"/>
          <w:sz w:val="20"/>
        </w:rPr>
        <w:t>Catastrophe exposure — Arch's property catastrophe reinsurance book creates tail risk from major natural disasters that could generate multi-billion dollar losses in a single quarter [1]</w:t>
      </w:r>
    </w:p>
    <w:p>
      <w:pPr>
        <w:spacing w:before="40" w:after="40"/>
        <w:ind w:left="283"/>
      </w:pPr>
      <w:r>
        <w:rPr>
          <w:rFonts w:ascii="Calibri" w:hAnsi="Calibri"/>
          <w:b/>
          <w:color w:val="4A6B25"/>
          <w:sz w:val="20"/>
        </w:rPr>
        <w:t xml:space="preserve">3. </w:t>
      </w:r>
      <w:r>
        <w:rPr>
          <w:rFonts w:ascii="Calibri" w:hAnsi="Calibri"/>
          <w:b w:val="0"/>
          <w:color w:val="3A4A28"/>
          <w:sz w:val="20"/>
        </w:rPr>
        <w:t>Earnings normalization — the 22% 4-year revenue CAGR and 19.5% ROE may prove unsustainable as the insurance cycle turns, potentially compressing the P/E multiple if growth decelerates further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and reinsurance underwriting is protected by deep regulatory barriers, actuarial expertise, capital requirements, and long-tail risk management that AI cannot easily replicate or displace [1]. However, AI-powered insurtechs are increasingly competing in commercial lines pricing, claims processing, and distribution, creating moderate pressure on portions of Arch's insurance segment. The mortgage insurance segment faces minimal AI disruption as it requires regulatory approvals and GSE (Fannie/Freddie) relationships that AI startups cannot obtain. Reinsurance relationships built over decades with brokers create meaningful switching costs. AI Opportunity (1/1): Arch has hired AI-focused leadership (Mountaga Aw from G42) to deploy quantitative strategies and AI-enhanced risk modeling across underwriting and investment portfolios, generating competitive advantage in pricing accuracy and claims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 Capital Group FY2025 Q4 and Full Year Results — $19.9B revenue, $3.7B operating income, 17.1% operating ROE, February 2026</w:t>
      </w:r>
    </w:p>
    <w:p>
      <w:pPr>
        <w:spacing w:before="20" w:after="20"/>
        <w:ind w:left="170"/>
      </w:pPr>
      <w:r>
        <w:rPr>
          <w:rFonts w:ascii="Calibri" w:hAnsi="Calibri"/>
          <w:b/>
          <w:color w:val="4A6B25"/>
          <w:sz w:val="15"/>
        </w:rPr>
        <w:t xml:space="preserve">2. </w:t>
      </w:r>
      <w:r>
        <w:rPr>
          <w:rFonts w:ascii="Calibri" w:hAnsi="Calibri"/>
          <w:b w:val="0"/>
          <w:color w:val="3A4A28"/>
          <w:sz w:val="17"/>
        </w:rPr>
        <w:t>Arch Capital Group website / Glassdoor / Comparably — Leadership transition, 4.3/5 culture rating, AI leadership hires,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Arch Capital Group Sustainability Reports — ESG five-pillar framework, SASB/TCFD reporting,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ACGL (Arch Capital Group),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