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ACHR</w:t>
      </w:r>
      <w:r>
        <w:rPr>
          <w:rFonts w:ascii="Calibri" w:hAnsi="Calibri"/>
          <w:b/>
          <w:color w:val="1A2010"/>
          <w:sz w:val="40"/>
        </w:rPr>
        <w:t xml:space="preserve">  Archer Aviation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2026-03-23 · Inspire: 60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Aerospace &amp; Defense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Archer Aviation designs and develops electric vertical takeoff and landing (eVTOL) aircraft for urban air taxi operations. Its flagship Midnight aircraft is a piloted, four-passenger vehicle designed for rapid back-to-back flights, targeting urban mobility markets in the U.S., UAE, and globally.</w:t>
      </w:r>
    </w:p>
    <w:p>
      <w:r>
        <w:rPr>
          <w:rFonts w:ascii="Calibri" w:hAnsi="Calibri"/>
          <w:b/>
          <w:color w:val="6E8450"/>
          <w:sz w:val="18"/>
        </w:rPr>
        <w:t>1,160 Employees · https://www.archer.com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Archer achieved the first 100% FAA eVTOL Means of Compliance milestone and secured FAA Part 135 certification, clearing critical regulatory hurdles no other U.S. eVTOL company has passed [1]. The $21M acquisition of Lilium's patent portfolio strengthened IP. AI Deployment (0/2): No evidence of AI-powered products shipping or AI-driven operational savings. Market Share (2/2): Category leader in U.S. eVTOL certification progress, selected for the White House eVTOL Integration Pilot Program, and named official air taxi provider for the 2028 Los Angeles Olympics [1]. Pipeline (2/2): Midnight aircraft targeting 2026 commercial launch in UAE and U.S., defense contracts generating near-term revenue, and mass production facility in Georgia [1]. R&amp;D Intensity (0/1): R&amp;D spending is high relative to revenue but the company is pre-revenue, making the ratio meaningless.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Archer's mission to transform urban travel by replacing 60-90 minute commutes with 10-20 minute electric air taxi flights is specific, thoughtful, and differentiated — connecting technology to a genuine quality-of-life improvement [2]. Community Impact (1/2): Zero-emission aircraft contribute to environmental goals, and the 2028 Olympics selection represents community impact, though no dedicated charitable programs identified. Employee Retention (0/2): No retention data available for this early-stage company. Insider Buying (1/2): CEO Adam Goldstein owns 5.58% of the company worth $301M, demonstrating significant personal conviction in the mission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Archer is a pre-revenue company with only $300K in trailing revenue, accumulated deficit of $2.1B, and quarterly cash burn of approximately $100M [1][3]. However, the company holds $2.0B in cash (record level), providing approximately 5 years of runway at current burn rates. D/E is low at 5.5%, forward P/E is negative, and profit margin is 0% [3]. Revenue generation expected to commence Q1 2026 from UAE and defense contracts. Liquidity floor cleared: 35.5M avg volume x $5.76 = $204M daily turnover.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Archer demonstrates infinite game qualities through its long-term vision for urban air mobility and patient capital deployment toward a transformative transportation paradigm. CEO Goldstein's 7+ year tenure building toward a multi-decade opportunity shows commitment beyond quarterly results, though the company is too young to have been truly tested.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Archer's vision of making flying an integral part of daily life — safe, sustainable, and cost-competitive with ground transportation — qualifies as a genuine Just Cause [2]. It describes a future state that doesn't yet exist, is inclusive, and is big enough to never be fully achieved. However, it hasn't yet been validated through execution or crisis.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Archer promotes core values of innovation, optimism, collaboration, results, and safety, and fosters a culture of open communication [2]. The company was named a 'Most Loved Workplace' designation. However, as a pre-revenue startup with 1,160 employees burning $100M quarterly, trust will be tested when difficult decisions arise.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Archer operates in a competitive landscape with Joby Aviation and formerly Lilium, and acquired Lilium's patent portfolio, suggesting willingness to learn from rivals' innovations [1]. The company's approach appears focused on self-improvement through certification progress rather than destroying competitors.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company has shown flexibility by expanding from pure urban air mobility to defense contracts and international partnerships (UAE), demonstrating willingness to find revenue paths while pursuing the core vision [1]. However, the company is too early-stage to have faced a true existential pivot.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Goldstein is investing $2B+ in a bet on eVTOL technology that the FAA hasn't yet fully approved for commercial flights, with no guaranteed path to profitability [1]. The commitment to building a Georgia manufacturing facility before achieving certification demonstrates forward-thinking courage.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Archer holds the most advanced FAA eVTOL certification position in the U.S. with a $2.0B cash position, White House pilot program selection, 2028 Olympics designation, and revenue expected to commence in Q1 2026 from UAE and defense contracts [1]. The eVTOL market is projected at $1T by 2040 (JP Morgan), and Archer's Midnight aircraft targets mass production at its Georgia facility. At $5.76 (market cap ~$4.3B), the stock offers asymmetric upside if FAA certification and commercialization proceed on schedule.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a binary certification and commercialization risk: Archer has burned through $2.1B in accumulated deficit with virtually zero revenue, and the FAA has not yet granted full commercial eVTOL approval [1]. Revenue projections of 'tens of millions' per international program are modest relative to $100M quarterly cash burn. The stock is down 61% from its 52-week high. Competitor Joby Aviation is also targeting Dubai launches, and if either company stumbles, investor sentiment for the entire eVTOL sector could collapse. The path to profitability requires 1,112% annual revenue growth to reach $534M by 2029 — an exceptionally aggressive trajectory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FAA commercial eVTOL certification expected H2 2026 would unlock U.S. passenger operations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UAE air taxi launch and defense revenue recognition in Q1-Q2 2026 provide first meaningful revenue validation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White House eVTOL Integration Pilot Program in Texas, Florida, and New York could accelerate regulatory framework for broader commercial deployment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FAA certification delay beyond 2026 would extend cash burn without revenue offset, potentially requiring dilutive capital raises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$100M quarterly cash burn against near-zero revenue creates approximately 5-year runway before additional funding needed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Battery technology and charging infrastructure limitations could constrain Midnight's operational economics and back-to-back flight capability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eVTOL aircraft manufacturing and air taxi operations are physical-world businesses that AI cannot substitute — the company is building certified flying machines, not software [1]. The regulatory moat (FAA certification) is among the deepest possible barriers to AI disruption. AI may enhance flight operations and manufacturing but cannot replace the core product. AI Opportunity (0/1): No evidence of meaningful AI revenue generation, though autonomous flight capabilities could be future additions.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60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Archer Aviation Q4 2025 Earnings Release and FAA Milestone Announcement,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Archer Aviation Leadership and Culture Profiles, Most Loved Workplace,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— ACHR key statistics, accessed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