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ACH</w:t>
      </w:r>
      <w:r>
        <w:rPr>
          <w:rFonts w:ascii="Calibri" w:hAnsi="Calibri"/>
          <w:b/>
          <w:color w:val="1A2010"/>
          <w:sz w:val="40"/>
        </w:rPr>
        <w:t xml:space="preserve">  Accendra Health, Inc.</w:t>
      </w:r>
    </w:p>
    <w:p>
      <w:pPr>
        <w:spacing w:after="120"/>
      </w:pPr>
      <w:r>
        <w:rPr>
          <w:rFonts w:ascii="Calibri" w:hAnsi="Calibri"/>
          <w:b/>
          <w:color w:val="6E8450"/>
          <w:sz w:val="18"/>
        </w:rPr>
        <w:t>GROWTH SLEEVE · 2026-04-29 · Inspire: -20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Distribution · NYSE · United States</w:t>
      </w:r>
    </w:p>
    <w:p>
      <w:pPr>
        <w:spacing w:after="80"/>
      </w:pPr>
      <w:r>
        <w:rPr>
          <w:rFonts w:ascii="Calibri" w:hAnsi="Calibri"/>
          <w:b w:val="0"/>
          <w:color w:val="3A4A28"/>
          <w:sz w:val="20"/>
        </w:rPr>
        <w:t>Accendra Health, Inc. (formerly Owens &amp; Minor) is a pure-play home-based care company operating through its Apria and Byram Healthcare brands, providing in-home care for diabetes treatment, respiratory therapy, sleep apnea treatment, and other medical equipment and supplies.</w:t>
      </w:r>
    </w:p>
    <w:p>
      <w:r>
        <w:rPr>
          <w:rFonts w:ascii="Calibri" w:hAnsi="Calibri"/>
          <w:b/>
          <w:color w:val="6E8450"/>
          <w:sz w:val="18"/>
        </w:rPr>
        <w:t>6,500 Employees · https://www.accendrahealth.com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The December 2025 rebrand from Owens &amp; Minor to Accendra Health and $375M divestiture of the Products &amp; Healthcare Services segment represents a significant business model pivot to pure-play home-based care [1]. AI Deployment (1/2): Adopted Palantir AIP Platform and Palantir Foundry in 2024 for operational AI, though no specific revenue or savings figures have been disclosed [3]. Market Share Leadership (1/2): Apria is a meaningful player in home respiratory therapy and CPAP services but is not the category leader in a fragmented home health market. Product Pipeline (0/2): No next-generation products announced with specific timelines; the pipeline is incremental home health service expansion. R&amp;D Intensity (0/1): Healthcare distribution companies typically have minimal R&amp;D spend.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Accendra Health's purpose is 'Bringing Care to Life,' which is clear and identifies what the company does for whom, but is not deeply distinctive in the home healthcare space [2]. Community Impact (0/2): No evidence of distinctive charitable programs or community investment beyond standard corporate practices. Employee Retention (0/2): Comparably rates the executive team a 'C-' (bottom 30%), and two executives departed immediately after the Products &amp; Healthcare Services sale closed, suggesting organizational instability during the transition [3]. Insider Buying (1/2): Limited insider transaction data during the restructuring period; neutral buying/selling activity.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check passes: 872,029 avg volume x $3.83 = $3.3M daily liquidity [4]. Calculated mechanically: ROE of -163.8% scores 0/1.0 (2x weight), revenue growth YoY of -73.7% scores 0/1.0 (1x), Forward P/E of 3.68 scores 1.0/1.0 (1x), profit margin of -39.8% scores 0/1.0 (1x), Forward PEG of 0.7 scores 1.0/1.0 (2x) [4]. The severe revenue decline reflects the divestiture of the Products &amp; Healthcare Services segment ($375M sale) rather than organic deterioration, but the remaining business operates at a loss with deeply negative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Accendra Health is in the midst of a fundamental business transformation — divesting its legacy distribution business and rebranding to focus on home-based care. While this shows strategic flexibility, the transformation is driven by financial necessity (debt reduction, margin improvement) rather than a clear Just Cause, and organizational instability during the transition undermines trust.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 4/10): 'Bringing Care to Life' is a cause statement that exists but reads as marketing — it's interchangeable with any home health company's mission. Leadership references it in investor materials but strategic decisions (the $375M divestiture, the rebrand) appear driven by financial engineering rather than purpose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 2/10): Executive team rated 'C-' by Comparably (bottom 30%), and two senior executives departed immediately upon closing the Products &amp; Healthcare Services sale [3]. The simultaneous rebrand, ticker change, business divestiture, and leadership departures create significant organizational instability and suggest a low-trust environment during the transition.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 3/10): No evidence of an infinite competitive mindset. The company's communications frame the home health market in terms of 'market leadership' and competitive positioning rather than learning from rivals like Lincare or BrightSpring Health Services.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 10/10): The company fundamentally reinvented itself — selling its 142-year-old core distribution business (Owens &amp; Minor brand) for $375M, changing its name, and becoming a pure-play home-based care company [1]. This is a dramatic strategic pivot that abandoned the legacy business entirely, scoring maximum points for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 2/10): The divestiture and rebrand appear driven by financial pressure (debt reduction, margin improvement on a $293M market cap) rather than courageous long-term vision. The company lowered 2022 guidance, experienced executive turnover, and the strategic shift feels reactive to balance sheet stress rather than proactive investment in future capability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Accendra Health represents a turnaround story: by divesting the legacy Owens &amp; Minor distribution business for $375M and refocusing on home-based care through Apria and Byram Healthcare, the company targets the secular tailwind of aging demographics and the shift from institutional to home-based healthcare delivery [1]. The Forward P/E of 3.68 and Forward PEG of 0.7 suggest the market is pricing in near-term losses but potential earnings recovery, and early AI adoption via Palantir platforms could drive operational efficiency gains [3].</w:t>
      </w:r>
    </w:p>
    <w:p>
      <w:pPr>
        <w:spacing w:after="120"/>
      </w:pPr>
      <w:r>
        <w:rPr>
          <w:rFonts w:ascii="Calibri" w:hAnsi="Calibri"/>
          <w:b w:val="0"/>
          <w:color w:val="3A4A28"/>
          <w:sz w:val="20"/>
        </w:rPr>
        <w:t>The bear case centers on execution risk during a massive corporate transformation. Revenue declined 73.7% YoY due to the divestiture, profit margins are deeply negative at -39.8%, and ROE stands at -163.8% [4]. The company carries significant debt (D/E unavailable but implied by the restructuring), and two executives departed immediately after the divestiture closed [3]. The home health market is fragmented and competitive, and it remains unclear whether Accendra can achieve profitability as a standalone entity before cash reserves are exhausted. The 'State Owned Enterprise' Inspire negative attribution appears to be a data error given this is a U.S.-based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execution of the pure-play home-based care strategy with margin improvement as the company eliminates low-margin distribution revenue</w:t>
      </w:r>
    </w:p>
    <w:p>
      <w:pPr>
        <w:spacing w:before="40" w:after="40"/>
        <w:ind w:left="283"/>
      </w:pPr>
      <w:r>
        <w:rPr>
          <w:rFonts w:ascii="Calibri" w:hAnsi="Calibri"/>
          <w:b/>
          <w:color w:val="4A6B25"/>
          <w:sz w:val="20"/>
        </w:rPr>
        <w:t xml:space="preserve">2. </w:t>
      </w:r>
      <w:r>
        <w:rPr>
          <w:rFonts w:ascii="Calibri" w:hAnsi="Calibri"/>
          <w:b w:val="0"/>
          <w:color w:val="3A4A28"/>
          <w:sz w:val="20"/>
        </w:rPr>
        <w:t>Aging U.S. demographics and Medicare policy shifts favoring home-based care over institutional settings could drive 10-15% annual market growth</w:t>
      </w:r>
    </w:p>
    <w:p>
      <w:pPr>
        <w:spacing w:before="40" w:after="40"/>
        <w:ind w:left="283"/>
      </w:pPr>
      <w:r>
        <w:rPr>
          <w:rFonts w:ascii="Calibri" w:hAnsi="Calibri"/>
          <w:b/>
          <w:color w:val="4A6B25"/>
          <w:sz w:val="20"/>
        </w:rPr>
        <w:t xml:space="preserve">3. </w:t>
      </w:r>
      <w:r>
        <w:rPr>
          <w:rFonts w:ascii="Calibri" w:hAnsi="Calibri"/>
          <w:b w:val="0"/>
          <w:color w:val="3A4A28"/>
          <w:sz w:val="20"/>
        </w:rPr>
        <w:t>AI-driven operational efficiencies via Palantir AIP Platform could reduce administrative costs and improve patient matching and logistics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Post-divestiture execution risk is severe — the company must prove it can operate profitably as a standalone home-based care business with deeply negative current margins</w:t>
      </w:r>
    </w:p>
    <w:p>
      <w:pPr>
        <w:spacing w:before="40" w:after="40"/>
        <w:ind w:left="283"/>
      </w:pPr>
      <w:r>
        <w:rPr>
          <w:rFonts w:ascii="Calibri" w:hAnsi="Calibri"/>
          <w:b/>
          <w:color w:val="4A6B25"/>
          <w:sz w:val="20"/>
        </w:rPr>
        <w:t xml:space="preserve">2. </w:t>
      </w:r>
      <w:r>
        <w:rPr>
          <w:rFonts w:ascii="Calibri" w:hAnsi="Calibri"/>
          <w:b w:val="0"/>
          <w:color w:val="3A4A28"/>
          <w:sz w:val="20"/>
        </w:rPr>
        <w:t>Management instability with two executive departures immediately after the strategic transaction and a 'C-' executive team rating suggests leadership gaps during a critical transition</w:t>
      </w:r>
    </w:p>
    <w:p>
      <w:pPr>
        <w:spacing w:before="40" w:after="40"/>
        <w:ind w:left="283"/>
      </w:pPr>
      <w:r>
        <w:rPr>
          <w:rFonts w:ascii="Calibri" w:hAnsi="Calibri"/>
          <w:b/>
          <w:color w:val="4A6B25"/>
          <w:sz w:val="20"/>
        </w:rPr>
        <w:t xml:space="preserve">3. </w:t>
      </w:r>
      <w:r>
        <w:rPr>
          <w:rFonts w:ascii="Calibri" w:hAnsi="Calibri"/>
          <w:b w:val="0"/>
          <w:color w:val="3A4A28"/>
          <w:sz w:val="20"/>
        </w:rPr>
        <w:t>Medicare reimbursement rate changes or regulatory shifts in home health could compress already-negative margins further, with limited balance sheet cushion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Accendra Health's core business — in-home delivery and management of medical equipment (CPAP devices, oxygen therapy, diabetes supplies) — involves physical-world operations, patient interaction, and heavily regulated healthcare processes that AI cannot easily displace [1]. The home health services model requires hands-on patient assessment, device setup, and ongoing clinical support. However, AI could pressure margins in administrative functions like scheduling, billing, and supply chain optimization. AI Opportunity (1/1): The company adopted Palantir AIP Platform in 2024 for operational intelligence, representing early-stage AI revenue enablement across logistics and patient management workflows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-20</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State Owned Enterprise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Accendra Health Q4 2025 earnings release, February 2026; BusinessWire announcement of corporate name change, December 2025</w:t>
      </w:r>
    </w:p>
    <w:p>
      <w:pPr>
        <w:spacing w:before="20" w:after="20"/>
        <w:ind w:left="170"/>
      </w:pPr>
      <w:r>
        <w:rPr>
          <w:rFonts w:ascii="Calibri" w:hAnsi="Calibri"/>
          <w:b/>
          <w:color w:val="4A6B25"/>
          <w:sz w:val="15"/>
        </w:rPr>
        <w:t xml:space="preserve">2. </w:t>
      </w:r>
      <w:r>
        <w:rPr>
          <w:rFonts w:ascii="Calibri" w:hAnsi="Calibri"/>
          <w:b w:val="0"/>
          <w:color w:val="3A4A28"/>
          <w:sz w:val="17"/>
        </w:rPr>
        <w:t>Accendra Health corporate website — 'Bringing Care to Life' mission and brand overview,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Comparably — Owens &amp; Minor executive team rating 'C-' (bottom 30%), accessed April 2026; HME News — 'Two execs exit Accendra Health,' January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ACH key statistics, price $3.83, market cap $293M,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Investing.com — 'Owens &amp; Minor to rebrand as Accendra Health, change ticker to ACH,' December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