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ACMR</w:t>
      </w:r>
      <w:r>
        <w:rPr>
          <w:rFonts w:ascii="Calibri" w:hAnsi="Calibri"/>
          <w:b/>
          <w:color w:val="1A2010"/>
          <w:sz w:val="40"/>
        </w:rPr>
        <w:t xml:space="preserve">  ACM Research, Inc.</w:t>
      </w:r>
    </w:p>
    <w:p>
      <w:pPr>
        <w:spacing w:after="120"/>
      </w:pPr>
      <w:r>
        <w:rPr>
          <w:rFonts w:ascii="Calibri" w:hAnsi="Calibri"/>
          <w:b/>
          <w:color w:val="6E8450"/>
          <w:sz w:val="18"/>
        </w:rPr>
        <w:t>GROWTH SLEEVE · 2026-04-26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ACM Research develops, manufactures, and sells single-wafer wet cleaning equipment for the semiconductor industry. The company's products include the SAPS, TEBO, and Ultra C cleaning tools used in advanced semiconductor manufacturing for wafer cleaning, electrochemical plating, and advanced packaging. Principal operations are conducted through subsidiary ACM Research (Shanghai) in China.</w:t>
      </w:r>
    </w:p>
    <w:p>
      <w:r>
        <w:rPr>
          <w:rFonts w:ascii="Calibri" w:hAnsi="Calibri"/>
          <w:b/>
          <w:color w:val="6E8450"/>
          <w:sz w:val="18"/>
        </w:rPr>
        <w:t>2,513 Employees · https://www.acmr.com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ACM Research has grown revenue from ~$133M in 2020 to $901M in 2025, a 46.6% 5yr CAGR driven by successful expansion from single-wafer cleaning into electrochemical plating, advanced packaging, and the new ACM Planetary furnace product family [1]. The company has also expanded geographically from China-focused to serving Samsung, SK Hynix, and other global customers. AI Deployment (1/2): ACM's semiconductor equipment enables AI chip manufacturing — the company's Ultra C Tahoe cleaning tool is designed for advanced node production used in AI accelerators, making ACM an indirect AI enabler with growing demand from AI chip foundries [3]. Market Share (2/2): ACM Research is the leading single-wafer wet cleaning equipment provider in China with significant market share gains from incumbent Tokyo Electron and SCREEN, benefiting from China's domestic semiconductor equipment localization push [1]. Pipeline (2/2): Management guided 2026 revenue of $1.08-$1.175B (21-30% growth) with specific new product launches including the ACM Planetary furnace family, Ultra C Tahoe hybrid cleaning tool with 75% chemical reduction, and Frame Wafer cleaning tool with ~100% solvent recovery [1][3]. R&amp;D Intensity (0/1): R&amp;D spending as a percentage of revenue is moderate for the semiconductor equipment industry; founder Dr. Wang holds 100+ patents but the company is smaller-scale than peers like Applied Materials or Lam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ACM Research's purpose centers on advancing semiconductor manufacturing through innovative cleaning and process solutions — clear and connected to enabling the digital economy, but not distinctive or transformative in articulation. The focus is operational rather than aspirational. Community Impact (1/2): ACM Shanghai published a 2024 ESG Report covering environmental stewardship, and the Ultra C Tahoe tool's 75% reduction in chemical consumption and Frame Wafer's ~100% solvent recovery demonstrate meaningful environmental innovation in product design [3]. Employee Retention (0/2): Limited Glassdoor data available for ACM Research specifically; the company has only 2,513 employees and insufficient public retention metrics to score. Insider Buying (1/2): Founder-CEO Dr. David Wang maintains significant equity exposure, providing structural alignment. However, recent insider transactions show substantial selling — CEO Wang sold $5.15M in shares in March 2026, CFO McKechnie sold $4.49M, and Director Liu sold $2.85M, totaling $12.5M in insider sales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ACM Research's infrastructure shows exceptional growth and clean balance sheet offset by modest current profitability. The 5yr revenue CAGR of ~46.6% (from $133M in 2020 to $901M in 2025) is outstanding, with FY2025 revenue up 15.2% YoY and 2026 guided for 21-30% growth to $1.08-$1.175B [1]. D/E of 15.4% is extraordinarily low for a capital equipment company, reflecting minimal leverage with $1.16B cash against only $298M debt [5]. Forward P/E of 24.6x and estimated PEG of ~1.09 are reasonable for a company guiding 21-30% revenue growth [5]. Profit margin of 10.4% and ROE of 8.1% are below target thresholds but acceptable for a high-growth equipment company reinvesting heavily in R&amp;D and production capacity expansion. Gross margin of 44.4% is healthy for semiconductor equipment [5]. Free cash flow is negative (-$112M) due to capacity investments, but the strong cash position provides ample runway. Liquidity easily cleared at $74.3M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ACM Research under founder-CEO Dr. David Wang shows founder-driven long-term orientation with a 26-year track record of building the company from a small cleaning equipment startup to a $900M+ revenue global semiconductor equipment provider. The consistent investment in new product development and geographic expansion reflects infinite game thinking, though the heavy insider selling and China-concentration risk introduce finite-game concerns.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Shallow cause (1/3 points). ACM Research's purpose — advancing semiconductor manufacturing through innovative process solutions — is functional and industry-appropriate but lacks a vision of a better future beyond operational excellence in wafer cleaning. Founder Dr. Wang's 100+ patents and 26-year commitment demonstrate genuine passion for the technology, but the company's articulated mission doesn't inspire beyond the immediate industry context.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(1/2 points). The company maintains a stable leadership team with CFO McKechnie serving since 2018 and founder Wang providing continuity since 1998. At 2,513 employees, the company is small enough for relatively direct leadership engagement. However, insufficient public data on employee satisfaction, Glassdoor reviews, or retention metrics prevents a higher score. The rapid headcount growth required to scale from $133M to $901M revenue in five years likely creates organizational growing pains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(0/1 point). ACM Research's competitive positioning is primarily framed around displacing incumbent Western competitors (Tokyo Electron, SCREEN, Lam Research) rather than learning from their strengths. The company benefits from the geopolitical dynamic that forces Chinese fabs to choose domestic suppliers, which is a market access advantage rather than a competitive improvement mindset. Management commentary focuses on market share gains from rivals rather than mutual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(1/2 points). ACM Research has expanded from a single-product cleaning equipment company into a multi-product platform spanning wet cleaning, electrochemical plating, furnace, and advanced packaging equipment [1]. The geographic expansion from China-only to global customers (Samsung, SK Hynix) represents meaningful strategic evolution. The recent launch of the ACM Planetary furnace family enters an entirely new equipment category. These moves are incremental extensions rather than transformative pivots, but they show consistent adaptation to market opportunities.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Pattern of courage (2/2 points). Founder Dr. David Wang has demonstrated remarkable long-term commitment — building ACM Research over 26 years from founding in 1998 through periods when the company had minimal revenue, investing in proprietary SAPS and TEBO cleaning technologies before the market validated them [2]. The decision to maintain and grow the Shanghai subsidiary despite intensifying U.S.-China geopolitical tensions shows willingness to stay the course when the easier path would be to retreat. Expanding into new product lines (furnace, ECP, advanced packaging) while still scaling the core cleaning business demonstrates investing in future capability at the expense of near-term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ACM Research is a high-growth semiconductor equipment company riding the dual tailwinds of China's domestic chip localization push and global AI-driven semiconductor capacity expansion. Revenue grew from $133M in 2020 to $901M in 2025 (46.6% 5yr CAGR), and management guided 2026 revenue of $1.08-$1.175B (21-30% growth) driven by new product launches (ACM Planetary furnace, Ultra C Tahoe) and production capacity expansion [1]. The balance sheet is pristine with D/E of just 15.4% and $1.16B cash against $298M debt, providing substantial financial flexibility [5]. At 24.6x forward P/E and ~1.09 PEG, the stock is reasonably valued for 20%+ revenue growth. Gross margin of 44.4% is healthy for semiconductor equipment, and founder-CEO Dr. Wang's 100+ patents and 26-year tenure provide deep technical leadership. The company's environmentally innovative products (75% chemical reduction, ~100% solvent recovery) create additional competitive differentiation [3].</w:t>
      </w:r>
    </w:p>
    <w:p>
      <w:pPr>
        <w:spacing w:after="120"/>
      </w:pPr>
      <w:r>
        <w:rPr>
          <w:rFonts w:ascii="Calibri" w:hAnsi="Calibri"/>
          <w:b w:val="0"/>
          <w:color w:val="3A4A28"/>
          <w:sz w:val="20"/>
        </w:rPr>
        <w:t>The bear case centers on significant geopolitical risk and insider selling. ACM Research generates the majority of its revenue through its Shanghai subsidiary serving Chinese semiconductor fabs, creating concentrated exposure to U.S.-China trade tensions and export controls [1]. Escalating restrictions could limit the company's ability to serve advanced-node customers in China or restrict component sourcing from Western suppliers. Insider selling is a material concern — CEO Wang sold $5.15M, CFO McKechnie sold $4.49M, and Director Liu sold $2.85M in March 2026, totaling $12.5M in insider sales in a single month [4]. Trailing EPS declined 77.7% YoY to $1.37 due to one-time charges and margin pressure, and profit margin of 10.4% and ROE of 8.1% remain below target thresholds. Free cash flow is negative (-$112M) as the company invests in capacity expansion. Competition from re-entering Western incumbents (as geopolitical dynamics evolve) and emerging Chinese competitors could pressure ACM's domestic market share gains. The stock's 40.9x trailing P/E prices in significant growth that must materialize to justify current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revenue guidance of $1.08-$1.175B (21-30% growth) driven by new ACM Planetary furnace product family and continued market share gains in single-wafer wet cleaning equipment in China [1]</w:t>
      </w:r>
    </w:p>
    <w:p>
      <w:pPr>
        <w:spacing w:before="40" w:after="40"/>
        <w:ind w:left="283"/>
      </w:pPr>
      <w:r>
        <w:rPr>
          <w:rFonts w:ascii="Calibri" w:hAnsi="Calibri"/>
          <w:b/>
          <w:color w:val="4A6B25"/>
          <w:sz w:val="20"/>
        </w:rPr>
        <w:t xml:space="preserve">2. </w:t>
      </w:r>
      <w:r>
        <w:rPr>
          <w:rFonts w:ascii="Calibri" w:hAnsi="Calibri"/>
          <w:b w:val="0"/>
          <w:color w:val="3A4A28"/>
          <w:sz w:val="20"/>
        </w:rPr>
        <w:t>China semiconductor localization acceleration — domestic fabs expanding capacity under government support create captive demand for ACM's equipment as Western alternatives face export restrictions</w:t>
      </w:r>
    </w:p>
    <w:p>
      <w:pPr>
        <w:spacing w:before="40" w:after="40"/>
        <w:ind w:left="283"/>
      </w:pPr>
      <w:r>
        <w:rPr>
          <w:rFonts w:ascii="Calibri" w:hAnsi="Calibri"/>
          <w:b/>
          <w:color w:val="4A6B25"/>
          <w:sz w:val="20"/>
        </w:rPr>
        <w:t xml:space="preserve">3. </w:t>
      </w:r>
      <w:r>
        <w:rPr>
          <w:rFonts w:ascii="Calibri" w:hAnsi="Calibri"/>
          <w:b w:val="0"/>
          <w:color w:val="3A4A28"/>
          <w:sz w:val="20"/>
        </w:rPr>
        <w:t>New product portfolio expansion into furnace, advanced packaging, and environmentally innovative cleaning tools (75% chemical reduction, 100% solvent recovery) broadens TAM and strengthens competitive positioning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Geopolitical risk — U.S. export controls could restrict ACM's component sourcing from Western suppliers or limit the company's ability to serve advanced-node Chinese customers, threatening the core growth thesis [1]</w:t>
      </w:r>
    </w:p>
    <w:p>
      <w:pPr>
        <w:spacing w:before="40" w:after="40"/>
        <w:ind w:left="283"/>
      </w:pPr>
      <w:r>
        <w:rPr>
          <w:rFonts w:ascii="Calibri" w:hAnsi="Calibri"/>
          <w:b/>
          <w:color w:val="4A6B25"/>
          <w:sz w:val="20"/>
        </w:rPr>
        <w:t xml:space="preserve">2. </w:t>
      </w:r>
      <w:r>
        <w:rPr>
          <w:rFonts w:ascii="Calibri" w:hAnsi="Calibri"/>
          <w:b w:val="0"/>
          <w:color w:val="3A4A28"/>
          <w:sz w:val="20"/>
        </w:rPr>
        <w:t>Heavy insider selling of $12.5M in March 2026 (CEO, CFO, and Director) signals potential near-term headwinds or concerns from leadership despite bullish public guidance [4]</w:t>
      </w:r>
    </w:p>
    <w:p>
      <w:pPr>
        <w:spacing w:before="40" w:after="40"/>
        <w:ind w:left="283"/>
      </w:pPr>
      <w:r>
        <w:rPr>
          <w:rFonts w:ascii="Calibri" w:hAnsi="Calibri"/>
          <w:b/>
          <w:color w:val="4A6B25"/>
          <w:sz w:val="20"/>
        </w:rPr>
        <w:t xml:space="preserve">3. </w:t>
      </w:r>
      <w:r>
        <w:rPr>
          <w:rFonts w:ascii="Calibri" w:hAnsi="Calibri"/>
          <w:b w:val="0"/>
          <w:color w:val="3A4A28"/>
          <w:sz w:val="20"/>
        </w:rPr>
        <w:t>Customer concentration in Chinese semiconductor fabs creates geographic risk — any slowdown in China's semiconductor investment cycle or policy shifts could materially impact revenue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ACM Research manufactures the physical semiconductor equipment required to produce AI chips — wafer cleaning tools are essential in every advanced semiconductor fabrication process, and AI accelerator manufacturing at advanced nodes requires more cleaning steps with tighter contamination control [1]. The company is structurally immune to AI disruption because AI increases demand for semiconductor manufacturing capacity, which directly increases demand for ACM's cleaning equipment. China's push for domestic AI chip capability under export restrictions from Western equipment suppliers (Applied Materials, Lam Research, Tokyo Electron) specifically benefits ACM as a domestically available alternative. The primary risk is not AI displacement but geopolitical — U.S. export controls could restrict ACM's ability to serve certain Chinese customers. AI Opportunity (1/1): ACM's products directly enable AI chip manufacturing, and the company's revenue growth is partly driven by expanding AI chip production capacity in China and globally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ACM Research Q4 and Full Year 2025 Earnings Release — $901M record revenue, 15.2% YoY growth, FY2026 guidance of $1.08-$1.175B, February 2026</w:t>
      </w:r>
    </w:p>
    <w:p>
      <w:pPr>
        <w:spacing w:before="20" w:after="20"/>
        <w:ind w:left="170"/>
      </w:pPr>
      <w:r>
        <w:rPr>
          <w:rFonts w:ascii="Calibri" w:hAnsi="Calibri"/>
          <w:b/>
          <w:color w:val="4A6B25"/>
          <w:sz w:val="15"/>
        </w:rPr>
        <w:t xml:space="preserve">2. </w:t>
      </w:r>
      <w:r>
        <w:rPr>
          <w:rFonts w:ascii="Calibri" w:hAnsi="Calibri"/>
          <w:b w:val="0"/>
          <w:color w:val="3A4A28"/>
          <w:sz w:val="17"/>
        </w:rPr>
        <w:t>ACM Research Leadership — Founder-CEO Dr. David Wang (26-year tenure, 100+ patents), CFO Mark McKechnie, management team overview,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ACM Research 2024 ESG Report — Ultra C Tahoe 75% chemical reduction, Frame Wafer ~100% solvent recovery, environmental innovation in product design,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ACMR insider transactions, $12.5M in insider sales by CEO Wang, CFO McKechnie, and Director Liu in March 2026,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ACMR key statistics (Forward P/E 24.6x, D/E 15.4%, ROE 8.1%, gross margin 44.4%),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