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ACM</w:t>
      </w:r>
      <w:r>
        <w:rPr>
          <w:rFonts w:ascii="Calibri" w:hAnsi="Calibri"/>
          <w:b/>
          <w:color w:val="1A2010"/>
          <w:sz w:val="40"/>
        </w:rPr>
        <w:t xml:space="preserve">  AECOM</w:t>
      </w:r>
    </w:p>
    <w:p>
      <w:pPr>
        <w:spacing w:after="120"/>
      </w:pPr>
      <w:r>
        <w:rPr>
          <w:rFonts w:ascii="Calibri" w:hAnsi="Calibri"/>
          <w:b/>
          <w:color w:val="6E8450"/>
          <w:sz w:val="18"/>
        </w:rPr>
        <w:t>GROWTH SLEEVE · 2026-04-26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Engineering &amp; Construction · NYSE · United States</w:t>
      </w:r>
    </w:p>
    <w:p>
      <w:pPr>
        <w:spacing w:after="80"/>
      </w:pPr>
      <w:r>
        <w:rPr>
          <w:rFonts w:ascii="Calibri" w:hAnsi="Calibri"/>
          <w:b w:val="0"/>
          <w:color w:val="3A4A28"/>
          <w:sz w:val="20"/>
        </w:rPr>
        <w:t>AECOM is a global infrastructure consulting firm providing professional services spanning transportation, water, environmental, energy, and facilities end markets. The company advises on planning, consulting, architectural and engineering design, program and construction management for public and private sector clients worldwide.</w:t>
      </w:r>
    </w:p>
    <w:p>
      <w:r>
        <w:rPr>
          <w:rFonts w:ascii="Calibri" w:hAnsi="Calibri"/>
          <w:b/>
          <w:color w:val="6E8450"/>
          <w:sz w:val="18"/>
        </w:rPr>
        <w:t>51,000 Employees · https://www.aecom.com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AECOM successfully transformed from a construction-heavy conglomerate into a professional services-focused firm by divesting its construction management and power businesses in 2019-2020, creating a higher-margin, lower-risk business model [1]. This strategic pivot has driven operating margin expansion from low teens to 19.9% NSR margin in Q1 FY2026. AI Deployment (1/2): AECOM is exploring AI applications in design automation, project management, and predictive analytics for infrastructure planning, but no quantified AI revenue or specific cost savings have been publicly reported [2]. Market Share (2/2): AECOM is one of the world's largest infrastructure consulting firms with $26B record backlog and leadership positions in transportation, water, and environmental services across the Americas, Europe, and Asia-Pacific [1]. Pipeline (1/2): Management guided 6-8% organic NSR growth for FY2026 with strong demand visibility from the $26B backlog, infrastructure spending bills, and energy transition projects, though specific next-gen service launches are limited [1]. R&amp;D Intensity (0/1): As a professional services firm, formal R&amp;D spending is minimal; innovation is expressed through methodology and digital delivery capabilities.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AECOM's Sustainable Legacies strategy represents a specific and thoughtful articulation of purpose — using infrastructure expertise to create lasting positive environmental and social impact [3]. The commitment to net-zero targets approved by the Science Based Targets initiative (among the first globally) connects daily work to climate action. This is more intentional than most E&amp;C peers. Community Impact (1/2): The company's work inherently creates community impact through infrastructure projects (transportation, water systems, environmental remediation), and the Sustainable Legacies strategy includes specific community engagement programs, though quantified charitable giving figures are not prominently disclosed [3]. Employee Retention (1/2): Glassdoor rating of 3.7/5.0 across 12,504 reviews is above average for engineering firms, with professional development programs cited as a positive [2]. However, some reviews flag reactive leadership and inconsistent management culture. Insider Buying (1/2): Insider activity is mixed — CEO Rudd made a stock gift in December 2025, while officers Gan and Poloni sold $3.2M in shares combined in December 2025, indicating net insider selling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AECOM's financial infrastructure shows strong valuation and returns offset by modest top-line growth and thin profit margins. Forward P/E of 12.1x and PEG of 0.89 are attractive for a company guiding to 15%+ adjusted EPS CAGR through FY2029, indicating meaningful value [5]. ROE of 28.2% demonstrates capital efficiency in the asset-light professional services model [5]. Revenue growth is modest — total revenue was essentially flat YoY at $16.14B in FY2025, though net service revenue (the company's preferred metric) grew 9% adjusted in Q1 FY2026 and is guided for 6-8% organically [1]. The 5yr revenue CAGR of approximately 7.6% is solid. D/E of 136.6% reflects the leveraged capital structure common in professional services firms with stable cash flows. Profit margin of 2.94% appears thin but reflects revenue pass-through in the E&amp;C business; adjusted operating margin on NSR reached 19.9% in Q1 FY2026 [1]. Free cash flow of $622M supports the $1.14/year dividend (24.1% payout ratio) and share buybacks. Liquidity easily cleared at $115M daily turnover.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AECOM under CEO Troy Rudd demonstrates strong infinite game characteristics through its Sustainable Legacies strategy and long-term margin expansion commitments (20%+ by FY2028, 15%+ EPS CAGR through FY2029). The strategic divestiture of construction operations to focus on higher-margin professional services showed willingness to sacrifice near-term revenue for long-term quality. However, the company's scale and bureaucratic culture create execution risks that dampen the infinite game score.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Genuine cause, partially lived (2/3 points). AECOM's Sustainable Legacies strategy — creating infrastructure that generates lasting positive environmental and social impact — is a distinctive purpose that connects daily work to climate resilience and community wellbeing [3]. The net-zero targets approved by the Science Based Targets initiative validate the commitment. However, the cause has been articulated only recently (post-2020) and hasn't yet survived a true existential test or multi-decade consistency to earn full marks.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Adequate trust (1/2 points). Glassdoor rating of 3.7/5.0 across 12,504 reviews is above average for a 51,000-employee engineering firm [2]. The company invests in leadership development through its Leadership Capabilities framework emphasizing trust, accountability, and inclusivity. However, reviews citing 'reactive rather than planned' decision-making and concerns about senior leadership recycling suggest inconsistent trust culture across the large organization. 18% women in leadership indicates ongoing diversity work.</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Infinite competitive mindset (1/1 point). AECOM acknowledges the competitive strengths of Jacobs, WSP Global, and Arcadis in specific markets and disciplines, using these rivalries to drive margin improvement and service quality. The company's strategic focus on 'winning the right work' (high-margin, design-led projects) rather than pursuing all revenue reflects a learning-oriented competitive approach that prioritizes self-improvement over market share maximization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Some flexibility (1/2 points). AECOM's transformation from a construction-heavy conglomerate to a professional services firm represents meaningful strategic evolution, shedding lower-margin, higher-risk business lines to create a more resilient model [1]. The company has also adapted to sustainability-driven infrastructure demand, positioning environmental services as a growth vector. These changes were significant but incremental rather than transformative in Sinek's terms — the company still does infrastructure consulting, just with a different margin profile.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Some courage (1/2 points). The divestiture of construction management and power businesses in 2019-2020 was a genuinely courageous decision — walking away from billions in revenue to focus on the higher-margin, lower-risk professional services model [1]. Management's commitment to 20%+ operating margin by FY2028 and refusal to chase low-margin construction revenue shows prioritization of quality over size. However, the consistent executive selling (~$3.2M in December 2025) creates some tension with the long-term narrative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AECOM is a high-quality infrastructure consulting franchise trading at an attractive valuation — 12.1x forward P/E and 0.89 PEG ratio — with strong visibility from a record $26B backlog and secular tailwinds from global infrastructure spending, energy transition, and climate resilience investment [1]. Q1 FY2026 delivered 9% adjusted NSR growth with a record 19.9% operating margin on NSR (up 120bps YoY), and management raised adjusted EPS guidance to $5.85-$6.05 with a long-term target of 20%+ margins by FY2028 and 15%+ EPS CAGR through FY2029 [1]. ROE of 28.2% demonstrates capital efficiency in the asset-light model, and $622M free cash flow supports both the growing dividend (31c quarterly, up from 15c in 2022) and share buybacks. The Sustainable Legacies ESG strategy and SBTi-approved net-zero targets position AECOM to capture accelerating demand for climate-resilient infrastructure design [3].</w:t>
      </w:r>
    </w:p>
    <w:p>
      <w:pPr>
        <w:spacing w:after="120"/>
      </w:pPr>
      <w:r>
        <w:rPr>
          <w:rFonts w:ascii="Calibri" w:hAnsi="Calibri"/>
          <w:b w:val="0"/>
          <w:color w:val="3A4A28"/>
          <w:sz w:val="20"/>
        </w:rPr>
        <w:t>The bear case centers on thin net margins and cyclical exposure. Profit margin of 2.94% on total revenue reflects the pass-through nature of the business and creates vulnerability to any margin compression — even small increases in labor costs or project overruns can significantly impact earnings [5]. D/E of 136.6% is elevated, and while appropriate for stable professional services cash flows, it limits financial flexibility during downturns. Recent insider selling of $3.2M by senior officers in December 2025 creates negative optics [4]. Revenue growth on a total basis was essentially flat in FY2025 (0.2% YoY), and while NSR growth is stronger (guided 6-8%), the company's growth algorithm depends heavily on share gains in a fragmented market rather than market expansion. Government spending dependency (federal/state infrastructure budgets) creates policy risk if political priorities shift away from infrastructure investment. The Comparably executive team rating in the bottom 25% for companies with 10,000+ employees and Glassdoor concerns about reactive leadership suggest organizational execution risk at scale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Record $26B backlog providing multi-year revenue visibility, with 6-8% organic NSR growth guidance and operating margin expansion toward the 20%+ FY2028 target [1]</w:t>
      </w:r>
    </w:p>
    <w:p>
      <w:pPr>
        <w:spacing w:before="40" w:after="40"/>
        <w:ind w:left="283"/>
      </w:pPr>
      <w:r>
        <w:rPr>
          <w:rFonts w:ascii="Calibri" w:hAnsi="Calibri"/>
          <w:b/>
          <w:color w:val="4A6B25"/>
          <w:sz w:val="20"/>
        </w:rPr>
        <w:t xml:space="preserve">2. </w:t>
      </w:r>
      <w:r>
        <w:rPr>
          <w:rFonts w:ascii="Calibri" w:hAnsi="Calibri"/>
          <w:b w:val="0"/>
          <w:color w:val="3A4A28"/>
          <w:sz w:val="20"/>
        </w:rPr>
        <w:t>Infrastructure spending tailwinds from the U.S. Infrastructure Investment and Jobs Act, global energy transition investment, and climate resilience demand creating secular growth in AECOM's core end markets [1]</w:t>
      </w:r>
    </w:p>
    <w:p>
      <w:pPr>
        <w:spacing w:before="40" w:after="40"/>
        <w:ind w:left="283"/>
      </w:pPr>
      <w:r>
        <w:rPr>
          <w:rFonts w:ascii="Calibri" w:hAnsi="Calibri"/>
          <w:b/>
          <w:color w:val="4A6B25"/>
          <w:sz w:val="20"/>
        </w:rPr>
        <w:t xml:space="preserve">3. </w:t>
      </w:r>
      <w:r>
        <w:rPr>
          <w:rFonts w:ascii="Calibri" w:hAnsi="Calibri"/>
          <w:b w:val="0"/>
          <w:color w:val="3A4A28"/>
          <w:sz w:val="20"/>
        </w:rPr>
        <w:t>Adjusted EPS guidance of $5.85-$6.05 for FY2026 with 15%+ CAGR target through FY2029, supported by margin expansion, buybacks, and organic growth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Thin net profit margin of 2.94% creates earnings vulnerability to labor cost inflation, project execution issues, or pricing pressure in competitive bids [5]</w:t>
      </w:r>
    </w:p>
    <w:p>
      <w:pPr>
        <w:spacing w:before="40" w:after="40"/>
        <w:ind w:left="283"/>
      </w:pPr>
      <w:r>
        <w:rPr>
          <w:rFonts w:ascii="Calibri" w:hAnsi="Calibri"/>
          <w:b/>
          <w:color w:val="4A6B25"/>
          <w:sz w:val="20"/>
        </w:rPr>
        <w:t xml:space="preserve">2. </w:t>
      </w:r>
      <w:r>
        <w:rPr>
          <w:rFonts w:ascii="Calibri" w:hAnsi="Calibri"/>
          <w:b w:val="0"/>
          <w:color w:val="3A4A28"/>
          <w:sz w:val="20"/>
        </w:rPr>
        <w:t>Government spending dependency — a shift in political priorities away from infrastructure investment could slow backlog conversion and new order intake</w:t>
      </w:r>
    </w:p>
    <w:p>
      <w:pPr>
        <w:spacing w:before="40" w:after="40"/>
        <w:ind w:left="283"/>
      </w:pPr>
      <w:r>
        <w:rPr>
          <w:rFonts w:ascii="Calibri" w:hAnsi="Calibri"/>
          <w:b/>
          <w:color w:val="4A6B25"/>
          <w:sz w:val="20"/>
        </w:rPr>
        <w:t xml:space="preserve">3. </w:t>
      </w:r>
      <w:r>
        <w:rPr>
          <w:rFonts w:ascii="Calibri" w:hAnsi="Calibri"/>
          <w:b w:val="0"/>
          <w:color w:val="3A4A28"/>
          <w:sz w:val="20"/>
        </w:rPr>
        <w:t>Organizational execution risk — Comparably bottom-25% executive team rating and Glassdoor concerns about reactive leadership may limit the company's ability to sustain margin expansion across 51,000 employees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AECOM's core business involves complex, site-specific infrastructure consulting that requires physical-world understanding, regulatory navigation, client relationships, and engineering judgment that AI cannot easily replicate [1]. Infrastructure projects (transportation systems, water treatment, environmental remediation) require on-the-ground assessment, permitting expertise, and integration of local regulations that create natural moats against AI displacement. However, AI tools are beginning to automate portions of the design and engineering workflow — parametric design, structural analysis, and document generation could reduce billable hours on routine tasks, compressing revenue in the mid-term. The competitive moat lies in AECOM's $26B backlog of complex, multi-year engagements where client relationships and domain expertise dominate over automated outputs. AI Opportunity (1/1): AECOM is deploying AI and digital tools for project delivery optimization, predictive infrastructure analytics, and design automation, though specific revenue contribution has not been quantified. The company's digital delivery capabilities are a differentiator in competitive bids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AECOM Q1 FY2026 Earnings Release — $1.85B revenue, 9% adjusted NSR growth, 19.9% NSR margin, record $26B backlog, raised FY2026 guidance, February 2026</w:t>
      </w:r>
    </w:p>
    <w:p>
      <w:pPr>
        <w:spacing w:before="20" w:after="20"/>
        <w:ind w:left="170"/>
      </w:pPr>
      <w:r>
        <w:rPr>
          <w:rFonts w:ascii="Calibri" w:hAnsi="Calibri"/>
          <w:b/>
          <w:color w:val="4A6B25"/>
          <w:sz w:val="15"/>
        </w:rPr>
        <w:t xml:space="preserve">2. </w:t>
      </w:r>
      <w:r>
        <w:rPr>
          <w:rFonts w:ascii="Calibri" w:hAnsi="Calibri"/>
          <w:b w:val="0"/>
          <w:color w:val="3A4A28"/>
          <w:sz w:val="17"/>
        </w:rPr>
        <w:t>Glassdoor — AECOM reviews (3.7/5.0, 12,504 reviews); Comparably executive team rating; leadership and AI strategy commentary,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AECOM Sustainable Legacies ESG Strategy — net-zero targets approved by Science Based Targets initiative; environmental, social, and governance framework,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ACM insider transactions, CEO Rudd stock gift, officer sales totaling $3.2M, December 2025, accessed April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 ACM key statistics (Forward P/E 12.1x, PEG 0.89, D/E 136.6%, ROE 28.2%),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