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ACN</w:t>
      </w:r>
      <w:r>
        <w:rPr>
          <w:rFonts w:ascii="Calibri" w:hAnsi="Calibri"/>
          <w:b/>
          <w:color w:val="1A2010"/>
          <w:sz w:val="40"/>
        </w:rPr>
        <w:t xml:space="preserve">  Accenture plc</w:t>
      </w:r>
    </w:p>
    <w:p>
      <w:pPr>
        <w:spacing w:after="120"/>
      </w:pPr>
      <w:r>
        <w:rPr>
          <w:rFonts w:ascii="Calibri" w:hAnsi="Calibri"/>
          <w:b/>
          <w:color w:val="6E8450"/>
          <w:sz w:val="18"/>
        </w:rPr>
        <w:t>DIVIDEND SLEEVE · 2026-03-28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Ireland</w:t>
      </w:r>
    </w:p>
    <w:p>
      <w:pPr>
        <w:spacing w:after="80"/>
      </w:pPr>
      <w:r>
        <w:rPr>
          <w:rFonts w:ascii="Calibri" w:hAnsi="Calibri"/>
          <w:b w:val="0"/>
          <w:color w:val="3A4A28"/>
          <w:sz w:val="20"/>
        </w:rPr>
        <w:t>Accenture plc is the world's largest professional services and consulting firm, providing strategy, consulting, technology, managed services, and operations services across 120+ countries. The company serves clients in all major industries and has positioned itself as the leading enterprise AI transformation partner with 85,000+ AI and data professionals.</w:t>
      </w:r>
    </w:p>
    <w:p>
      <w:r>
        <w:rPr>
          <w:rFonts w:ascii="Calibri" w:hAnsi="Calibri"/>
          <w:b/>
          <w:color w:val="6E8450"/>
          <w:sz w:val="18"/>
        </w:rPr>
        <w:t>786,000 Employees · https://www.accenture.com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Accenture reorganized its entire business around AI, creating the Reinvention Services unit under Manish Sharma and restructuring from traditional consulting to 'AI-first reinvention' — a significant business model transformation, though still within the consulting domain [2]. The $3B AI investment over three years (announced 2023) has been executed at scale. AI Deployment (2/2): Accenture has 85,000+ AI and data professionals (exceeding its 80,000 target ahead of schedule), 550,000 employees reskilled on generative AI, and CEO Sweet mandated AI tool adoption for promotions [2]. Measurable AI-driven efficiency gains reported in managed services (10% revenue growth in Q2 FY2026) [1]. Market Share (2/2): Accenture is the undisputed #1 IT consulting firm globally with $72.1B TTM revenue, record Q2 bookings of $22.1B, and 41 clients with $100M+ quarterly bookings — gaining share in enterprise AI consulting against Deloitte, IBM, and Infosys [1]. Pipeline (1/2): Reinvention Services unit, continued AI talent scaling, and 3-5% local currency revenue growth guidance for FY2026 provide visibility, but no named next-generation platform product [1]. R&amp;D Intensity (1/1): Accenture invested $865M in a single business optimization program and $3B+ in AI capabilities over three years — top-quartile relative to IT services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Accenture's stated purpose is to 'deliver on the promise of technology and human ingenuity' — clear and identifies scope but not deeply distinctive or proven through crisis. It reads as professional and competent rather than inspiring. Community Impact (1/2): Accenture's 360° Value Reporting includes corporate citizenship programs, but specific dollar amounts for charitable giving and community investment were not prominent in search results. The company employs 786,000 people globally. Employee Retention (1/2): Mixed signals — Accenture is a coveted employer for consulting talent and was recognized among best workplaces, but the AI-driven reskilling mandate ('use AI or lose your promotion') and $865M restructuring with layoffs create workforce anxiety [2]. The 786,000 employee base has been reduced from peak levels. Insider Buying (2/2): Accenture returned $2.7B to shareholders in Q2 FY2026 alone ($1.7B buybacks + $1.0B dividends), and the 10% dividend increase demonstrates strong capital allocation conviction by leadership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Accenture's financial profile is excellent for an IT services firm. D/E of just 25.5% reflects a nearly debt-free balance sheet — rare at this scale [4]. ROE of 24.8% exceeds the 15% target. Forward P/E of 12.9x is attractively valued relative to 8.3% revenue growth and expanding margins. TTM revenue of $72.1B grew 7.3% YoY with operating margin expanding to 13.8% in Q2 FY2026 [1]. Free cash flow of $3.67B in Q2 (raised FY2026 FCF guidance to $10.8-11.5B) demonstrates cash generation power. Profit margin of 10.6% is moderate but typical for professional services at scale. Dividend yield of 3.39% with 50.1% payout ratio, 20+ consecutive years paid, and 18.8% 5yr dividend growth CAGR provide strong income metrics [4]. Liquidity floor easily cleared at $1.25B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Accenture demonstrates strong infinite-game characteristics in its willingness to fundamentally reinvent its business model around AI, but the execution is heavily top-down and coercive ('use AI or lose your promotion'), which Sinek would question as finite-game management dressed in infinite-game strategy. The company's 40+ year consulting heritage and consistent investment in talent development are genuine infinite-game assets.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points). Accenture's purpose — 'deliver on the promise of technology and human ingenuity' — connects its work to a larger vision and has been validated by the company's consistent reinvention across technology waves (mainframes, ERP, cloud, AI). Leadership references the purpose in strategic decisions. However, the DEI rollback under political pressure suggests the cause bends to pragmatism when tested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point). Accenture employs 786,000 people and has historically been considered a top-tier employer in consulting with strong career development pathways. However, the 'use AI or lose your promotion' mandate, $865M restructuring with layoffs, and 84.51°-style workforce reductions create an environment where employees must adapt or leave [2]. The reskilling of 550,000 employees on GenAI is impressive but the coercive framing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point). Accenture acknowledges and learns from rivals — CEO Sweet explicitly discusses what clients are doing with competing firms, and the company's approach to AI was shaped by observing how hyperscalers (Google, Microsoft, Amazon) were building capabilities [2]. Accenture partners with rather than attacks its technology rivals, maintaining alliances with all major cloud and AI platforms.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Transformative flexibility (2 points). Accenture has fundamentally reinvented itself from Andersen Consulting (accounting-adjacent) to a technology consulting powerhouse, and is now reinventing again around AI with a complete organizational restructure (Reinvention Services unit), $3B+ investment, and the mandate that every employee must become AI-proficient [2]. This is a genuine business model transformation driven by conviction about the future, not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point). The $3B AI investment and complete organizational restructuring demonstrate willingness to invest heavily in long-term capability over short-term earnings stability. However, the DEI rollback to protect $3.5B+ in federal contracts shows pragmatism over principle when the cost is real [3]. Sweet's AI mandate is bold but also self-serving — it protects Accenture's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Accenture is the world's largest IT services firm executing a bold AI transformation that positions it as the essential partner for enterprise reinvention. Q2 FY2026 delivered record bookings of $22.1B with 41 clients exceeding $100M quarterly, 8% revenue growth to $18.0B, and operating margin expansion to 13.8% [1]. The company has 85,000+ AI professionals (exceeding its 80,000 target ahead of schedule) and has reskilled 550,000 employees on generative AI, creating an unmatched AI consulting workforce [2]. At 12.9x forward P/E with a 3.39% dividend yield and 18.8% 5yr dividend growth CAGR, Accenture offers rare value-plus-growth in the consulting sector. Free cash flow guidance was raised to $10.8-11.5B for FY2026, and the company returned $2.7B to shareholders in Q2 alone [1]. The D/E of just 25.5% provides a fortress balance sheet.</w:t>
      </w:r>
    </w:p>
    <w:p>
      <w:pPr>
        <w:spacing w:after="120"/>
      </w:pPr>
      <w:r>
        <w:rPr>
          <w:rFonts w:ascii="Calibri" w:hAnsi="Calibri"/>
          <w:b w:val="0"/>
          <w:color w:val="3A4A28"/>
          <w:sz w:val="20"/>
        </w:rPr>
        <w:t>The bear case centers on AI cannibalization risk and slowing growth. While Accenture is building AI capabilities, generative AI fundamentally threatens the billable-hours model — AI coding assistants, automated testing, and AI-powered analytics could reduce demand for the lower-value staff augmentation work that comprises a significant portion of revenue [2]. FY2026 local currency revenue growth guidance of only 3-5% (4-6% excluding federal business impact) represents a deceleration from pre-pandemic growth rates, suggesting the AI transition is compressing near-term demand. The U.S. federal business faces ~1% headwind from government spending cuts, and the $3.5B+ federal contract portfolio is exposed to political risk [1]. Profit margin of 10.6% is structurally limited by the people-intensive business model. The DEI rollback damaged Accenture's employer brand and could impact talent attraction in competitive markets [3]. The stock's 34% decline from 52-week highs reflects market skepticism about whether AI will be net positive or net negative for IT services firms.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bookings momentum — $22.1B in Q2 FY2026 with 41 clients at $100M+ quarterly bookings, signaling strong enterprise AI transformation demand pipeline [1]</w:t>
      </w:r>
    </w:p>
    <w:p>
      <w:pPr>
        <w:spacing w:before="40" w:after="40"/>
        <w:ind w:left="283"/>
      </w:pPr>
      <w:r>
        <w:rPr>
          <w:rFonts w:ascii="Calibri" w:hAnsi="Calibri"/>
          <w:b/>
          <w:color w:val="4A6B25"/>
          <w:sz w:val="20"/>
        </w:rPr>
        <w:t xml:space="preserve">2. </w:t>
      </w:r>
      <w:r>
        <w:rPr>
          <w:rFonts w:ascii="Calibri" w:hAnsi="Calibri"/>
          <w:b w:val="0"/>
          <w:color w:val="3A4A28"/>
          <w:sz w:val="20"/>
        </w:rPr>
        <w:t>Reinvention Services unit under Manish Sharma creating a unified AI-first delivery model that could accelerate margin expansion and competitive differentiation [2]</w:t>
      </w:r>
    </w:p>
    <w:p>
      <w:pPr>
        <w:spacing w:before="40" w:after="40"/>
        <w:ind w:left="283"/>
      </w:pPr>
      <w:r>
        <w:rPr>
          <w:rFonts w:ascii="Calibri" w:hAnsi="Calibri"/>
          <w:b/>
          <w:color w:val="4A6B25"/>
          <w:sz w:val="20"/>
        </w:rPr>
        <w:t xml:space="preserve">3. </w:t>
      </w:r>
      <w:r>
        <w:rPr>
          <w:rFonts w:ascii="Calibri" w:hAnsi="Calibri"/>
          <w:b w:val="0"/>
          <w:color w:val="3A4A28"/>
          <w:sz w:val="20"/>
        </w:rPr>
        <w:t>Free cash flow inflection — raised FY2026 FCF guidance to $10.8-11.5B, enabling continued aggressive shareholder returns (10% dividend increase) and AI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cannibalization of billable hours — generative AI tools could reduce demand for lower-value consulting and managed services engagements that comprise a meaningful portion of $72B revenue [2]</w:t>
      </w:r>
    </w:p>
    <w:p>
      <w:pPr>
        <w:spacing w:before="40" w:after="40"/>
        <w:ind w:left="283"/>
      </w:pPr>
      <w:r>
        <w:rPr>
          <w:rFonts w:ascii="Calibri" w:hAnsi="Calibri"/>
          <w:b/>
          <w:color w:val="4A6B25"/>
          <w:sz w:val="20"/>
        </w:rPr>
        <w:t xml:space="preserve">2. </w:t>
      </w:r>
      <w:r>
        <w:rPr>
          <w:rFonts w:ascii="Calibri" w:hAnsi="Calibri"/>
          <w:b w:val="0"/>
          <w:color w:val="3A4A28"/>
          <w:sz w:val="20"/>
        </w:rPr>
        <w:t>U.S. federal business headwind — government spending cuts creating ~1% revenue drag, with $3.5B+ in federal contracts exposed to political risk and budget austerity [1]</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 3-5% local currency growth guidance represents a structural slowdown from historical 8-10% growth, potentially signaling demand compression as AI automates consulting 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Accenture faces genuine AI disruption risk — AI coding assistants (GitHub Copilot, Cursor), AI consulting tools, and automated managed services directly threaten the billable-hours consulting model. Analysts have flagged that generative AI could compress demand for lower-value consulting engagements (staff augmentation, basic coding, documentation) that represent a meaningful portion of Accenture's $72B revenue base [2]. However, Accenture has strong defensive moats: deep client relationships, regulatory complexity requiring human judgment, and the reality that enterprise AI transformation itself requires consulting — creating a paradox where the disruptor is also the solution. The company's pivot to 'Reinvention Services' and 85,000 AI professionals positions it as the implementer, not the victim [2]. AI Opportunity (1/1): Accenture generates substantial AI revenue — record bookings driven by AI transformation engagements, $3B+ invested in AI capabilities, and AI-specific revenue growing faster than the overall business. CEO Sweet stated AI is embedded in nearly every major engagement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Accenture Q2 FY2026 Earnings Release — $18.0B revenue, record $22.1B bookings, 13.8% operating margin, March 19, 2026</w:t>
      </w:r>
    </w:p>
    <w:p>
      <w:pPr>
        <w:spacing w:before="20" w:after="20"/>
        <w:ind w:left="170"/>
      </w:pPr>
      <w:r>
        <w:rPr>
          <w:rFonts w:ascii="Calibri" w:hAnsi="Calibri"/>
          <w:b/>
          <w:color w:val="4A6B25"/>
          <w:sz w:val="15"/>
        </w:rPr>
        <w:t xml:space="preserve">2. </w:t>
      </w:r>
      <w:r>
        <w:rPr>
          <w:rFonts w:ascii="Calibri" w:hAnsi="Calibri"/>
          <w:b w:val="0"/>
          <w:color w:val="3A4A28"/>
          <w:sz w:val="17"/>
        </w:rPr>
        <w:t>CNBC, Fortune, Fast Company — Accenture AI mandate, CEO Julie Sweet leadership, 85,000 AI professionals, Reinvention Services restructuring, 2025-2026</w:t>
      </w:r>
    </w:p>
    <w:p>
      <w:pPr>
        <w:spacing w:before="20" w:after="20"/>
        <w:ind w:left="170"/>
      </w:pPr>
      <w:r>
        <w:rPr>
          <w:rFonts w:ascii="Calibri" w:hAnsi="Calibri"/>
          <w:b/>
          <w:color w:val="4A6B25"/>
          <w:sz w:val="15"/>
        </w:rPr>
        <w:t xml:space="preserve">3. </w:t>
      </w:r>
      <w:r>
        <w:rPr>
          <w:rFonts w:ascii="Calibri" w:hAnsi="Calibri"/>
          <w:b w:val="0"/>
          <w:color w:val="3A4A28"/>
          <w:sz w:val="17"/>
        </w:rPr>
        <w:t>Bloomberg, ESG Dive, RTE — Accenture DEI rollback, sustainability controversies,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ACN (Accenture),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