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ADC</w:t>
      </w:r>
      <w:r>
        <w:rPr>
          <w:rFonts w:ascii="Calibri" w:hAnsi="Calibri"/>
          <w:b/>
          <w:color w:val="1A2010"/>
          <w:sz w:val="40"/>
        </w:rPr>
        <w:t xml:space="preserve">  Agree Realty Corporation</w:t>
      </w:r>
    </w:p>
    <w:p>
      <w:pPr>
        <w:spacing w:after="120"/>
      </w:pPr>
      <w:r>
        <w:rPr>
          <w:rFonts w:ascii="Calibri" w:hAnsi="Calibri"/>
          <w:b/>
          <w:color w:val="6E8450"/>
          <w:sz w:val="18"/>
        </w:rPr>
        <w:t>DIVIDEND SLEEVE · 2026-04-29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Agree Realty Corporation is a publicly traded net lease REIT that acquires and develops properties net leased to industry-leading, omni-channel retail tenants. As of December 31, 2025, the Company owned and operated a portfolio of 2,674 properties located in all 50 states containing approximately 55.5 million square feet of gross leasable area.</w:t>
      </w:r>
    </w:p>
    <w:p>
      <w:r>
        <w:rPr>
          <w:rFonts w:ascii="Calibri" w:hAnsi="Calibri"/>
          <w:b/>
          <w:color w:val="6E8450"/>
          <w:sz w:val="18"/>
        </w:rPr>
        <w:t>90 Employees · https://agreerealty.com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Agree Realty has executed an aggressive acquisition-driven growth strategy, scaling from approximately 900 properties in 2020 to 2,674 properties by end of 2025 — nearly tripling the portfolio in five years while maintaining 99.7% occupancy [1]. The 'Rethinking Retail' positioning focuses on omni-channel tenants resilient to e-commerce disruption, representing a genuine strategic insight. AI Deployment (0/2): No evidence of AI-powered products or measurable AI-driven efficiencies. The company's small workforce of 90 employees limits the scope for internal AI deployment. Market Share (1/2): Agree Realty has become one of the largest pure-play net lease REITs with a $9.2B market cap, though it trails Realty Income ($45B+) and National Retail Properties in scale [1]. Product Pipeline (0/2): No next-generation products — the pipeline consists of property acquisitions, which is the standard net lease REIT growth mechanism rather than product innovation. R&amp;D Intensity (1/1): While not R&amp;D in the traditional sense, Agree Realty's investment in proprietary tenant credit analytics and property sourcing capabilities exceeds typical net lease REIT peers given its 90-person team manages 2,674 properties.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Agree Realty's stated purpose — 'Rethinking Retail' — is more distinctive than typical REIT missions and reflects genuine strategic intentionality about which retail categories will endure in an e-commerce world [3]. It connects the company's acquisitions to a larger thesis about the future of physical retail. However, it remains a business strategy framing rather than a deeper cause. Community Impact (1/2): Agree Realty's ESG report highlights Gold Level Green Lease Leader recognition for two consecutive years, Scope 1-3 emissions accounting, and improved GRESB and MSCI ratings [5]. The company has demonstrated measurable commitment to sustainability within its property portfolio, though community philanthropy programs are not prominently featured. Employee Retention (1/2): CEO Joey Agree's 16-year tenure demonstrates leadership continuity, and the company's small team of 90 employees managing a $9.2B portfolio suggests high productivity and lean operations [2]. However, Glassdoor reviews describe concerning cultural issues including 'long hours, below market pay, nepotism and poor culture,' with the environment described as 'ridiculously political for how small the company is' [4]. Insider Buying (1/2): CEO Joey Agree's $8.35M total compensation is 89.2% stock-based, aligning his interests with shareholders, though this represents compensation structure rather than open-market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Agree Realty's financial infrastructure is among the strongest in the net lease REIT space. D/E of 59.6% is well below the 70% target, and the company maintains $2.3B in liquidity providing significant acquisition capacity [1]. Revenue grew 18.7% YoY to $718.4M in FY2025 with a 3-year CAGR of 18.7%, reflecting the aggressive but disciplined acquisition program [1]. Profit margin of 29.3% exceeds the 20% target. The dividend record is exceptional: 32 consecutive years paid with 13 consecutive years of growth and a 5.1% 5-year CAGR [6]. The primary weakness is the 168% GAAP payout ratio (typical for REITs where FFO better represents cash flow) and a low 3.7% ROE depressed by the large equity base from ongoing share issuance. Q1 2026 showed continued momentum with revenue of $200.8M (+18.7% YoY) and AFFO per share up 7.9%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Agree Realty demonstrates above-average infinite game characteristics for a REIT. CEO Joey Agree's 16-year tenure and the company's 'Rethinking Retail' thesis represent a genuine long-term orientation that has guided disciplined acquisition decisions through multiple market cycles [1][2]. The focus on omni-channel, necessity-based retail tenants reflects forward-looking strategic thinking about which retail formats will endure. However, the small organization's cultural challenges (per Glassdoor) and aggressive growth-at-all-costs posture introduce finite game elements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'Rethinking Retail' is a genuinely distinctive positioning for a net lease REIT — it articulates a thesis about the future of physical retail that guides acquisition decisions and differentiates Agree Realty from peers who simply buy whatever net lease properties are available [3]. CEO Joey Agree's 16-year tenure pursuing this thesis demonstrates consistency. However, the cause is ultimately about building a superior real estate portfolio rather than advancing a future state that inspires sacrifice — it's a smart business strategy, not a Just Cause in Sinek's fullest sense.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of organizational trust at Agree Realty. Employees describe 'toxic culture,' 'nepotism,' 'long hours and below market pay,' and a political environment 'ridiculously' disproportionate to the company's small size [4]. The 'you should feel privileged to work here' attitude described by reviewers suggests a low-trust, fear-based dynamic. The recent hire of a VP of People &amp; Culture in April 2025 implicitly acknowledges these cultural problems but the remediation is nascent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Agree Realty's competitive positioning demonstrates infinite mindset thinking. Rather than directly competing with Realty Income on scale, the company has carved out a differentiated niche focused on omni-channel retail resilience and tenant credit quality. Management acknowledges Realty Income's strengths while competing on a different dimension — portfolio quality and tenant selection rather than sheer size [1]. The 'Rethinking Retail' thesis is fundamentally about self-improvement and forward-looking strategy rather than beating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Agree Realty has meaningfully evolved from a small, regional net lease REIT into a national platform operating in all 50 states, tripling its portfolio from ~900 to 2,674 properties in five years [1]. The strategic pivot toward omni-channel, e-commerce-resilient tenants represents genuine adaptation to the changing retail landscape. However, the fundamental business model — acquiring and leasing single-tenant retail properties — has remained constant since the company's founding in 1971.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Joey Agree has demonstrated a pattern of courageous capital allocation decisions. The company invested aggressively in property acquisitions during the COVID-19 pandemic when retail real estate was deeply out of favor, acquiring properties at attractive cap rates while competitors retreated [1]. The decision to focus exclusively on net lease retail — avoiding the diversification into industrial and office that peers pursued — required conviction in the retail thesis when the consensus view was that physical retail was dying. Maintaining 13 consecutive years of dividend increases through market dislocations shows commitment to long-term shareholder value over short-term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Agree Realty is a best-in-class net lease REIT with a 4.2% dividend yield, 13 consecutive years of dividend growth, and exceptional portfolio quality — 99.7% occupancy across 2,674 properties in all 50 states leased to omni-channel, necessity-based retail tenants [1]. Q1 2026 results beat expectations with revenue of $200.8M (+18.7% YoY), AFFO per share up 7.9%, and net income rising 33.4% to $60.2M [1]. The company's $2.3B liquidity position enables continued accretive acquisitions, and AFFO guidance of $4.54-$4.58/share implies 5.4% growth for FY2026. D/E of 59.6% provides balance sheet safety rare among REITs.</w:t>
      </w:r>
    </w:p>
    <w:p>
      <w:pPr>
        <w:spacing w:after="120"/>
      </w:pPr>
      <w:r>
        <w:rPr>
          <w:rFonts w:ascii="Calibri" w:hAnsi="Calibri"/>
          <w:b w:val="0"/>
          <w:color w:val="3A4A28"/>
          <w:sz w:val="20"/>
        </w:rPr>
        <w:t>The bear case centers on valuation and structural REIT challenges: at 38.4x forward P/E (17x AFFO is more appropriate for REITs), Agree Realty is richly valued relative to net asset value, and rising interest rates compress the spread between acquisition cap rates and the cost of capital [6]. The 168% GAAP payout ratio (though covered by AFFO) leaves limited margin if property-level cash flows deteriorate. Glassdoor reviews describing 'toxic culture,' 'nepotism,' and below-market pay suggest organizational risk in a 90-person company where employee quality is critical to acquisition underwriting [4]. Revenue growth of 18.7% is driven by share issuance-funded acquisitions rather than organic same-store growth, diluting per-share economics. Concentration in retail real estate creates sector-specific risk if consumer spending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accretive property acquisitions funded by $2.3B liquidity position, with 2026 AFFO guidance of $4.54-$4.58/share implying 5.4% growth at the midpoint</w:t>
      </w:r>
    </w:p>
    <w:p>
      <w:pPr>
        <w:spacing w:before="40" w:after="40"/>
        <w:ind w:left="283"/>
      </w:pPr>
      <w:r>
        <w:rPr>
          <w:rFonts w:ascii="Calibri" w:hAnsi="Calibri"/>
          <w:b/>
          <w:color w:val="4A6B25"/>
          <w:sz w:val="20"/>
        </w:rPr>
        <w:t xml:space="preserve">2. </w:t>
      </w:r>
      <w:r>
        <w:rPr>
          <w:rFonts w:ascii="Calibri" w:hAnsi="Calibri"/>
          <w:b w:val="0"/>
          <w:color w:val="3A4A28"/>
          <w:sz w:val="20"/>
        </w:rPr>
        <w:t>Omni-channel retail thesis validation as necessity-based tenants (grocery, convenience, auto parts) prove resilient to both e-commerce disruption and economic cycles</w:t>
      </w:r>
    </w:p>
    <w:p>
      <w:pPr>
        <w:spacing w:before="40" w:after="40"/>
        <w:ind w:left="283"/>
      </w:pPr>
      <w:r>
        <w:rPr>
          <w:rFonts w:ascii="Calibri" w:hAnsi="Calibri"/>
          <w:b/>
          <w:color w:val="4A6B25"/>
          <w:sz w:val="20"/>
        </w:rPr>
        <w:t xml:space="preserve">3. </w:t>
      </w:r>
      <w:r>
        <w:rPr>
          <w:rFonts w:ascii="Calibri" w:hAnsi="Calibri"/>
          <w:b w:val="0"/>
          <w:color w:val="3A4A28"/>
          <w:sz w:val="20"/>
        </w:rPr>
        <w:t>Potential inclusion in larger REIT indices as the portfolio scales, driving passive fund inflows and multiple expansion from the current $9.2B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Rich valuation at 38.4x forward P/E (17x AFFO) creates downside risk if interest rates rise further or acquisition cap rates compress, reducing the spread that drives accretive growth</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concerns (Glassdoor: 'toxic culture,' 'nepotism,' below-market pay) in a 90-person company where underwriting talent retention is critical to portfolio quality</w:t>
      </w:r>
    </w:p>
    <w:p>
      <w:pPr>
        <w:spacing w:before="40" w:after="40"/>
        <w:ind w:left="283"/>
      </w:pPr>
      <w:r>
        <w:rPr>
          <w:rFonts w:ascii="Calibri" w:hAnsi="Calibri"/>
          <w:b/>
          <w:color w:val="4A6B25"/>
          <w:sz w:val="20"/>
        </w:rPr>
        <w:t xml:space="preserve">3. </w:t>
      </w:r>
      <w:r>
        <w:rPr>
          <w:rFonts w:ascii="Calibri" w:hAnsi="Calibri"/>
          <w:b w:val="0"/>
          <w:color w:val="3A4A28"/>
          <w:sz w:val="20"/>
        </w:rPr>
        <w:t>Equity issuance-driven growth diluting per-share economics — revenue growth of 18.7% significantly exceeds AFFO/share growth of 5.4%, reflecting the cost of share-funded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Agree Realty's core business — owning physical retail properties leased to essential, omni-channel tenants — is structurally immune to AI disruption. Net leases on physical real estate secured by long-term contracts with investment-grade tenants (Walmart, Tractor Supply, Dollar General, Wawa) cannot be digitized or replaced by AI [1]. The company's focus on 'necessity-based' retail categories (grocery, home improvement, auto parts, convenience) ensures demand for physical locations persists regardless of AI advances. AI may even increase demand for logistics and distribution real estate as e-commerce grows. AI Opportunity (0/1): No evidence of AI-generated revenue. The company may use data analytics for tenant credit assessment and property sourcing, but this does not constitute meaningful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Agree Realty Q1 2026 Earnings Release — $200.8M revenue, $0.50 EPS, 99.7% occupancy, $2.3B liquidity, April 2026</w:t>
      </w:r>
    </w:p>
    <w:p>
      <w:pPr>
        <w:spacing w:before="20" w:after="20"/>
        <w:ind w:left="170"/>
      </w:pPr>
      <w:r>
        <w:rPr>
          <w:rFonts w:ascii="Calibri" w:hAnsi="Calibri"/>
          <w:b/>
          <w:color w:val="4A6B25"/>
          <w:sz w:val="15"/>
        </w:rPr>
        <w:t xml:space="preserve">2. </w:t>
      </w:r>
      <w:r>
        <w:rPr>
          <w:rFonts w:ascii="Calibri" w:hAnsi="Calibri"/>
          <w:b w:val="0"/>
          <w:color w:val="3A4A28"/>
          <w:sz w:val="17"/>
        </w:rPr>
        <w:t>Agree Realty corporate website and leadership team — CEO Joey Agree (16-year tenure), VP People &amp; Culture hire,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Agree Realty 'Rethinking Retail' strategic positioning and company overview,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Agree Realty employee reviews describing culture challenges,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Agree Realty 2023 Sustainability Report — Gold Level Green Lease Leader, GRESB and MSCI improved ratings, June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ADC key statistics, dividend history,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