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ADI</w:t>
      </w:r>
      <w:r>
        <w:rPr>
          <w:rFonts w:ascii="Calibri" w:hAnsi="Calibri"/>
          <w:b/>
          <w:color w:val="1A2010"/>
          <w:sz w:val="40"/>
        </w:rPr>
        <w:t xml:space="preserve">  Analog Devices, Inc.</w:t>
      </w:r>
    </w:p>
    <w:p>
      <w:pPr>
        <w:spacing w:after="120"/>
      </w:pPr>
      <w:r>
        <w:rPr>
          <w:rFonts w:ascii="Calibri" w:hAnsi="Calibri"/>
          <w:b/>
          <w:color w:val="6E8450"/>
          <w:sz w:val="18"/>
        </w:rPr>
        <w:t>DIVIDEND SLEEVE · 2026-04-01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Analog Devices designs, manufactures, and markets high-performance analog, mixed-signal, and digital signal processing integrated circuits used in virtually every type of electronic equipment. The company serves industrial (47%), automotive (25%), communications (15%), and consumer (13%) end markets through its broad portfolio of data converters, amplifiers, power management, and RF products.</w:t>
      </w:r>
    </w:p>
    <w:p>
      <w:r>
        <w:rPr>
          <w:rFonts w:ascii="Calibri" w:hAnsi="Calibri"/>
          <w:b/>
          <w:color w:val="6E8450"/>
          <w:sz w:val="18"/>
        </w:rPr>
        <w:t>24,500 Employees · https://www.analog.com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ADI delivered Q1 FY2026 revenue of $3.16B, up 30% YoY, with industrial revenue surging 38% and communications up 63% [1]. The transformative 2021 Maxim Integrated acquisition created the broadest analog portfolio in the industry. Data center business grew ~50% in FY2025 and further accelerated in Q1 FY2026, driven by AI demand for faster processing and greater power density [1]. Fiscal 2025 revenue of $11.0B grew 17% vs. FY2024 as the recovery broadened across all end markets. AI Deployment (2/2): ADI's products are enabling AI infrastructure — the company's high-performance data converters, power management ICs, and optical connectivity products are critical components in AI data centers [1][2]. The ADVentures corporate venture fund invests in early-stage AI startups, and the CTO appointment of Alan Lee was explicitly positioned to 'accelerate leadership at the Intelligent Edge by expanding AI capabilities' [2]. Market Share (1/2): ADI is the #1 or #2 analog semiconductor company globally, competing with Texas Instruments. The company holds leadership positions in data converters, precision signal chain, and RF/microwave technology, though TI maintains broader reach in commodity analog [2]. Product Pipeline (1/2): Q2 FY2026 guidance of $3.5B (±$100M) implies continued acceleration. Management highlights test/defense tailwinds, data center power and optical gains, and a stronger second-half setup [1]. Specific next-gen product launches are not individually named. R&amp;D Intensity (1/1): ADI invests approximately 17-18% of revenue in R&amp;D, well above semiconductor industry averages, reflecting commitment to analog and mixed-signal innovation at the technology frontier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ADI's stated mission — 'to solve the toughest engineering challenges at the intersection of the physical and digital worlds' — is clear and connects analog technology to meaningful outcomes but remains fairly standard for a semiconductor company. It identifies what ADI does and for whom without articulating a transformative vision of a better future. Community Impact (1/2): ADI committed to net-zero emissions by 2050 with 54% renewable electricity at manufacturing facilities by 2022, disclosed full Scope 3 emissions, and is a UN Global Compact signatory [3]. These are meaningful but standard for large semiconductor companies. Employee Retention (2/2): CEO Vincent Roche has led ADI since 2013 as only the third CEO in the company's 60+ year history, demonstrating exceptional leadership stability. The executive team is rated 'B' on Comparably, in the top 30% of similar-size companies [2]. The long CEO tenure and deliberate succession planning reflect a culture where leadership endures. Insider Buying (1/2): Roche and other executives maintain significant equity exposure through long-term incentive plans. The recent 11% dividend increase signals management confidence, but specific net insider buying data is not noteworthy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ADI's financial profile is strong with exceptional growth metrics. D/E of 25.8% is among the lowest in semiconductors, reflecting a fortress balance sheet post-Maxim integration [4]. Revenue growth of 30.4% YoY and a 5-year CAGR of ~14.5% exceed all targets, powered by the broad-based recovery across industrial, communications, and consumer markets [1]. Gross margin of 71.2% and profit margin of 23.0% demonstrate analog semiconductor pricing power and operating leverage [1]. Operating cash flow was $5.1B and free cash flow $4.6B (39% of revenue) on a trailing twelve-month basis [1]. The key weakness is ROE of 7.9%, depressed by the ~$25B of goodwill from the Maxim acquisition diluting the return on assets base. Forward P/E of 24.8x is above the 20x target, partially offset by the strong growth trajectory. Payout ratio of 72.4% is elevated but supported by the FCF commitment to return 100% of FCF to shareholders. Dividend credentials are strong: 22 consecutive years of payments, 21 consecutive years of growth, and 5-year dividend growth CAGR of 9.8% [4]. Liquidity floor easily cleared: 4.1M avg volume × $323.48 = $1.34B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ADI exemplifies infinite game thinking under CEO Vincent Roche — only the third CEO in 60+ years, reflecting deep leadership continuity. The company's patient, decade-spanning investments in analog technology leadership, the transformative Maxim acquisition, and the ADVentures CVC fund for long-term innovation all signal a company built to endure across technology cycles rather than optimize for quarterly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ADI's purpose — solving the toughest engineering challenges at the intersection of physical and digital worlds — is genuine and connected to meaningful outcomes, though it reads more as a technical mission than a transformative vision of a better future. What elevates the score is that the cause has been validated by 60+ years of consistent execution and only three CEOs, each of whom deepened the company's commitment to analog technology leadership [2]. The cause shapes real strategic decisions — ADI chose to acquire Maxim rather than diversify into digital, doubling down on its analog identity.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 has had only three CEOs in 60+ years, reflecting deep organizational continuity and trust in leadership succession [2]. CEO Roche's 13-year tenure and deliberate appointment of CTO Alan Lee to drive AI capabilities suggest collaborative, trust-based executive team dynamics. The executive team rating of 'B' (top 30%) is solid but not exceptional. Integration of Maxim's 10,000+ employees without reported cultural disruption suggests organizational trust. However, specific evidence of frontline employee empowerment or below-average turnover is limited.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 competes against Texas Instruments without framing the rivalry in destructive terms. Management discusses competitive dynamics in terms of expanding the analog market rather than taking TI's share. The ADVentures fund invests in startups that could become competitors, showing openness to learning from emerging rivals [2]. The company acknowledges that its moat comes from continuous self-improvement in analog design rather than competitor destruction.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 has demonstrated genuine existential flexibility. The 2021 Maxim acquisition fundamentally transformed the company from an analog specialist into the broadest analog/mixed-signal platform in the industry — a company-redefining bet [2]. Earlier, ADI pivoted from primarily defense/aerospace analog to become a diversified industrial-automotive-communications franchise. The current strategic pivot toward AI data center power and optical connectivity represents another major evolution in how ADI deploys its analog expertise [1]. These pivots were driven by the cause (bridging physical and digital) rather than desperation. Score: 2 weighted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 demonstrates a clear pattern of courageous long-term bets. The $21B Maxim Integrated acquisition in 2021 was a transformative bet that created the broadest analog portfolio in the industry, even as it temporarily depressed ROE and created integration risk [2]. Management committed to returning 100% of free cash flow to shareholders over the long term — an unusually transparent capital allocation commitment. The ADVentures CVC fund investing in early-stage AI startups represents forward-looking courage to invest beyond the current product cycle. Maintaining 17-18% R&amp;D intensity through the 2023-2024 semiconductor downturn showed discipline over short-term earnings optimization. Score: 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Analog Devices is delivering a powerful cyclical recovery with structural AI tailwinds — Q1 FY2026 revenue of $3.16B surged 30% YoY with 71.2% gross margins and 45.5% adjusted operating margins, while Q2 guidance of $3.5B implies continued acceleration [1]. The company's analog and mixed-signal semiconductors are essential components in AI data center power management and optical connectivity, making ADI a direct beneficiary of the AI infrastructure buildout. Data center revenue grew ~50% in FY2025 and further accelerated, with management highlighting a stronger second-half setup [1]. At 24.8x forward P/E with $4.6B in trailing free cash flow (39% of revenue), ADI offers compelling value for a semiconductor franchise with 30%+ revenue growth, a 21-year dividend growth streak, and an 11% dividend increase just announced [1][4]. The conservative 25.8% D/E ratio and hybrid manufacturing model (internal fabs + TSMC) provide financial and supply chain resilience [2].</w:t>
      </w:r>
    </w:p>
    <w:p>
      <w:pPr>
        <w:spacing w:after="120"/>
      </w:pPr>
      <w:r>
        <w:rPr>
          <w:rFonts w:ascii="Calibri" w:hAnsi="Calibri"/>
          <w:b w:val="0"/>
          <w:color w:val="3A4A28"/>
          <w:sz w:val="20"/>
        </w:rPr>
        <w:t>The bear case centers on cyclical risk and elevated valuation. ADI's semiconductor business is inherently cyclical — revenue declined from $12.31B in FY2023 to $9.43B in FY2024 (a 23% contraction) before rebounding, demonstrating the amplitude of cycle swings [4]. The current 30% growth rate is partially a cyclical recovery from a depressed base rather than purely structural acceleration. ROE of 7.9% is weak, depressed by ~$25B in goodwill from the Maxim acquisition that may take years to generate adequate returns [4]. Forward P/E of 24.8x is above the semiconductor peer average and the 20x target, creating vulnerability to multiple compression if growth decelerates. The 72.4% payout ratio, while supported by the FCF commitment, limits financial flexibility during downturns. Automotive revenue (25% of total) declined 8% sequentially in Q1, showing weakness in a key end market [1]. Geopolitical risk from China exposure and potential tariff escalation could disrupt the recovery trajectory. The company's dependence on TSMC for advanced node manufacturing creates supply chain concentration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infrastructure buildout driving accelerating demand for ADI's power management ICs and optical connectivity products — data center revenue grew ~50% in FY2025 and continues to accelerate [1]</w:t>
      </w:r>
    </w:p>
    <w:p>
      <w:pPr>
        <w:spacing w:before="40" w:after="40"/>
        <w:ind w:left="283"/>
      </w:pPr>
      <w:r>
        <w:rPr>
          <w:rFonts w:ascii="Calibri" w:hAnsi="Calibri"/>
          <w:b/>
          <w:color w:val="4A6B25"/>
          <w:sz w:val="20"/>
        </w:rPr>
        <w:t xml:space="preserve">2. </w:t>
      </w:r>
      <w:r>
        <w:rPr>
          <w:rFonts w:ascii="Calibri" w:hAnsi="Calibri"/>
          <w:b w:val="0"/>
          <w:color w:val="3A4A28"/>
          <w:sz w:val="20"/>
        </w:rPr>
        <w:t>Q2 FY2026 guidance of $3.5B (±$100M) with ~47.5% adjusted operating margin implies continued revenue momentum and margin expansion as operating leverage takes hold [1]</w:t>
      </w:r>
    </w:p>
    <w:p>
      <w:pPr>
        <w:spacing w:before="40" w:after="40"/>
        <w:ind w:left="283"/>
      </w:pPr>
      <w:r>
        <w:rPr>
          <w:rFonts w:ascii="Calibri" w:hAnsi="Calibri"/>
          <w:b/>
          <w:color w:val="4A6B25"/>
          <w:sz w:val="20"/>
        </w:rPr>
        <w:t xml:space="preserve">3. </w:t>
      </w:r>
      <w:r>
        <w:rPr>
          <w:rFonts w:ascii="Calibri" w:hAnsi="Calibri"/>
          <w:b w:val="0"/>
          <w:color w:val="3A4A28"/>
          <w:sz w:val="20"/>
        </w:rPr>
        <w:t>ADVentures corporate venture fund and CTO Alan Lee's AI-focused innovation mandate positioning ADI for next-generation Intelligent Edge opportunities beyond current product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cyclicality — FY2024's 23% revenue decline from FY2023 peak demonstrates that current 30% growth is partially cyclical recovery, and the next downturn could compress earnings significantly [4]</w:t>
      </w:r>
    </w:p>
    <w:p>
      <w:pPr>
        <w:spacing w:before="40" w:after="40"/>
        <w:ind w:left="283"/>
      </w:pPr>
      <w:r>
        <w:rPr>
          <w:rFonts w:ascii="Calibri" w:hAnsi="Calibri"/>
          <w:b/>
          <w:color w:val="4A6B25"/>
          <w:sz w:val="20"/>
        </w:rPr>
        <w:t xml:space="preserve">2. </w:t>
      </w:r>
      <w:r>
        <w:rPr>
          <w:rFonts w:ascii="Calibri" w:hAnsi="Calibri"/>
          <w:b w:val="0"/>
          <w:color w:val="3A4A28"/>
          <w:sz w:val="20"/>
        </w:rPr>
        <w:t>Depressed ROE of 7.9% from ~$25B Maxim goodwill — the acquisition must generate sustained above-market growth to justify the capital deployed, and integration synergies are still being realized [4]</w:t>
      </w:r>
    </w:p>
    <w:p>
      <w:pPr>
        <w:spacing w:before="40" w:after="40"/>
        <w:ind w:left="283"/>
      </w:pPr>
      <w:r>
        <w:rPr>
          <w:rFonts w:ascii="Calibri" w:hAnsi="Calibri"/>
          <w:b/>
          <w:color w:val="4A6B25"/>
          <w:sz w:val="20"/>
        </w:rPr>
        <w:t xml:space="preserve">3. </w:t>
      </w:r>
      <w:r>
        <w:rPr>
          <w:rFonts w:ascii="Calibri" w:hAnsi="Calibri"/>
          <w:b w:val="0"/>
          <w:color w:val="3A4A28"/>
          <w:sz w:val="20"/>
        </w:rPr>
        <w:t>Automotive weakness — 25% of revenue from automotive declined 8% sequentially in Q1, reflecting EV adoption uncertainty and potential inventory corrections that could weigh on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ADI's core analog and mixed-signal semiconductor business is fundamentally protected from AI disruption — AI systems require more high-performance analog chips, not fewer. Every AI data center needs ADI's data converters, power management ICs, and optical connectivity products to bridge the physical and digital worlds [1][2]. The company's data center revenue grew ~50% in FY2025 and accelerated further in Q1 FY2026, directly driven by AI infrastructure buildout [1]. ADI's moat is built on decades of accumulated analog design expertise that cannot be replicated by software or digital AI — analog chip design remains one of the most experience-dependent disciplines in semiconductor engineering [2]. The hybrid manufacturing approach (internal fabs + TSMC) provides supply resilience. AI Opportunity (1/1): ADI generates meaningful and growing AI-related revenue through data center power management, high-speed data converters for AI training/inference, and optical connectivity ICs. The ADVentures CVC fund specifically targets AI-adjacent startups, and management explicitly identified 'AI-driven computing and connectivity' as a central strategic pillar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Analog Devices Q1 FY2026 Earnings Release — $3.16B revenue, 30% YoY growth, Q2 guidance $3.5B, 71.2% gross margin, 11% dividend increase, February 18, 2026</w:t>
      </w:r>
    </w:p>
    <w:p>
      <w:pPr>
        <w:spacing w:before="20" w:after="20"/>
        <w:ind w:left="170"/>
      </w:pPr>
      <w:r>
        <w:rPr>
          <w:rFonts w:ascii="Calibri" w:hAnsi="Calibri"/>
          <w:b/>
          <w:color w:val="4A6B25"/>
          <w:sz w:val="15"/>
        </w:rPr>
        <w:t xml:space="preserve">2. </w:t>
      </w:r>
      <w:r>
        <w:rPr>
          <w:rFonts w:ascii="Calibri" w:hAnsi="Calibri"/>
          <w:b w:val="0"/>
          <w:color w:val="3A4A28"/>
          <w:sz w:val="17"/>
        </w:rPr>
        <w:t>Klover.ai / Futurum Group — ADI AI strategy analysis, ADVentures CVC fund, CTO Alan Lee appointment, CEO Roche leadership profile, 2025-2026</w:t>
      </w:r>
    </w:p>
    <w:p>
      <w:pPr>
        <w:spacing w:before="20" w:after="20"/>
        <w:ind w:left="170"/>
      </w:pPr>
      <w:r>
        <w:rPr>
          <w:rFonts w:ascii="Calibri" w:hAnsi="Calibri"/>
          <w:b/>
          <w:color w:val="4A6B25"/>
          <w:sz w:val="15"/>
        </w:rPr>
        <w:t xml:space="preserve">3. </w:t>
      </w:r>
      <w:r>
        <w:rPr>
          <w:rFonts w:ascii="Calibri" w:hAnsi="Calibri"/>
          <w:b w:val="0"/>
          <w:color w:val="3A4A28"/>
          <w:sz w:val="17"/>
        </w:rPr>
        <w:t>Analog Devices ESG Reports — Net-zero by 2050 commitment, 54% renewable electricity, UN Global Compact signatory, Scope 3 disclosure, 2022-2023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ADI (Analog Devices),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