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ADMA</w:t>
      </w:r>
      <w:r>
        <w:rPr>
          <w:rFonts w:ascii="Calibri" w:hAnsi="Calibri"/>
          <w:b/>
          <w:color w:val="1A2010"/>
          <w:sz w:val="40"/>
        </w:rPr>
        <w:t xml:space="preserve">  ADMA Biologics, Inc.</w:t>
      </w:r>
    </w:p>
    <w:p>
      <w:pPr>
        <w:spacing w:after="120"/>
      </w:pPr>
      <w:r>
        <w:rPr>
          <w:rFonts w:ascii="Calibri" w:hAnsi="Calibri"/>
          <w:b/>
          <w:color w:val="6E8450"/>
          <w:sz w:val="18"/>
        </w:rPr>
        <w:t>GROWTH SLEEVE · 2026-04-10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ADMA Biologics is a commercial-stage biopharmaceutical company dedicated to manufacturing, marketing, and developing specialty plasma-derived biologics for immunodeficient patients. Its flagship products ASCENIV and BIVIGAM are intravenous immunoglobulin (IVIG) therapies for primary humoral immunodeficiency, and Nabi-HB treats acute hepatitis B exposure. The company operates plasma collection centers and a state-of-the-art manufacturing facility in Boca Raton, Florida.</w:t>
      </w:r>
    </w:p>
    <w:p>
      <w:r>
        <w:rPr>
          <w:rFonts w:ascii="Calibri" w:hAnsi="Calibri"/>
          <w:b/>
          <w:color w:val="6E8450"/>
          <w:sz w:val="18"/>
        </w:rPr>
        <w:t>640 Employees · https://www.admabiologics.com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ADMA has successfully transformed from a pre-revenue biotech into a profitable commercial-stage biopharmaceutical company, growing revenue from $154M in 2022 to $510M in 2025 — a 3.3x increase in three years [1]. The yield-enhancement technology for plasma fractionation moved from development into routine commercial execution in 2025, directly driving margin expansion [1]. AI Deployment (1/2): ADMA developed 'ADMAlytics,' an AI-driven platform that reduces manufacturing variability and improves production forecasting, demonstrating tangible AI application in biomanufacturing [2]. Market Share (2/2): ADMA has established ASCENIV as a differentiated IVIG product with superior clinical outcomes data compared to standard IVIG, capturing growing share in the $8B+ U.S. immunoglobulin market. The new McKesson Specialty distribution agreement expands market access significantly [1]. Pipeline (1/2): The company is developing anti-pneumococcal hyperimmune globulin products and expanding ASCENIV indications, with long-term revenue targets implying ~$1.1B by 2029 [1]. R&amp;D Intensity (1/1): R&amp;D investment is appropriate for a specialty biopharmaceutical company focused on plasma-derived therapeutics and process optimization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ADMA's mission to provide life-saving immunoglobulin therapies for immunodeficient patients who have limited treatment options reflects genuine intentionality [3]. The focus on underserved patient populations with serious immune deficiencies connects the business directly to patient outcomes, and founder-CEO Adam Grossman has built the company around this purpose since 2004. Community Impact (1/2): ADMA operates seven plasma collection centers that serve local communities and provide a critical link in the plasma supply chain. The company's products directly serve immunodeficient patients with limited alternatives, providing meaningful community health impact [3]. Employee Retention (1/2): As a 640-person company, ADMA maintains a VP of People and Culture (Earl Major), indicating attention to organizational health. The founder-CEO has led the company for over 20 years, providing leadership continuity [2]. Insider Buying (1/2): CEO Adam Grossman is the founder with significant equity ownership. The company announced a share buyback program in early 2026, signaling management confidence in the stock's undervaluation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ADMA's financial profile is outstanding across all measured dimensions. Forward P/E of 7.2x against 2026 adjusted net income guidance of $255M represents deep value for a company guiding to ~20% revenue CAGR through 2029 [1][5]. ROE of 35.6% is well above the 15% target, reflecting highly efficient capital deployment. Profit margin of 28.8% exceeds the 20% threshold and is expanding as yield-enhanced production scales [1]. Revenue growth of 15.9% YoY (2024 to 2025) continues the multi-year growth trajectory, with 3-year revenue CAGR of ~49% from $154M to $510M [5]. D/E of 110.7% is elevated but manageable given the strong cash generation ($40M operating cash flow in Q4 2025 alone) and improving debt profile [1]. Liquidity is ample at $50M daily traded value. All core metrics score at or near maximum.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ADMA demonstrates meaningful infinite game characteristics rooted in its founder-led mission to serve immunodeficient patients. CEO Adam Grossman's 20+ year tenure building the company from concept to commercial-stage profitability reflects long-term thinking. However, the company is still relatively young as a profitable entity and has not yet been tested through a full economic cycle or leadership transition, limiting the evidence base for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ADMA has a genuine cause — providing life-saving immunoglobulin therapies to immunodeficient patients who have limited treatment options (2/3 pts). Founder-CEO Adam Grossman has pursued this cause for over 20 years, enduring years of losses before reaching profitability in 2024 [1]. The focus on underserved patients with serious immune deficiencies connects the company's work to something bigger than revenue growth. However, the cause has not yet been tested through a leadership transition or major strategic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environment with some positive signals (1/2 pts). The founder-CEO's 20+ year tenure provides leadership continuity. The company maintains a VP of People and Culture, indicating organizational attention to employee experience [2]. With only 640 employees, the organization is small enough for direct leadership access. However, limited public data on employee satisfaction, turnover, or culture prevents a higher assessment.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ADMA demonstrates an infinite competitive mindset (1/1 pt). Rather than trying to compete head-on with plasma giants CSL Behring, Grifols, and Takeda on volume, ADMA has differentiated ASCENIV through superior clinical outcomes data and targeted underserved patient populations [1]. Management acknowledges the strengths of larger competitors and uses competitive pressure to improve manufacturing efficiency and product quality rather than pursuing a market share war.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pts). ADMA's 2025 divestiture of three plasma collection centers for $12M while retaining seven demonstrates willingness to optimize the business model. The pivot from a development-stage company dependent on licensing revenue to a vertically integrated manufacturer of proprietary IVIG products represents meaningful strategic evolution [1]. However, the core business model of plasma-derived biologics has remained constant.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evident (1/2 pts). Adam Grossman spent nearly two decades building ADMA through years of losses, regulatory setbacks, and capital market skepticism — demonstrating personal commitment to the long-term vision [1]. The investment in yield-enhancement technology during a period of financial vulnerability showed willingness to prioritize future capability over near-term profitability. The decision to retain seven plasma centers rather than sell them all for immediate cash reflects long-term supply chain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ADMA Biologics has completed a remarkable transformation from a cash-burning development-stage biotech to a highly profitable specialty biopharmaceutical company, guiding to $635M revenue and $255M adjusted net income for 2026, with a long-term target of $1.1B revenue by 2029 (~20% CAGR) [1]. At 7.2x forward earnings, the stock is deeply undervalued relative to its growth trajectory — if ADMA delivers on its 2026 guidance, earnings will more than double from current levels to ~$1.38 per share [5]. The yield-enhancement technology entering its first full year of commercial execution in 2026 supports gross margin expansion, while the new McKesson Specialty distribution agreement broadens market access for ASCENIV [1]. ROE of 35.6% and profit margins of 28.8% demonstrate highly efficient operations. Founder-CEO Adam Grossman's 20+ year tenure and share buyback program signal long-term alignment with shareholders [1].</w:t>
      </w:r>
    </w:p>
    <w:p>
      <w:pPr>
        <w:spacing w:after="120"/>
      </w:pPr>
      <w:r>
        <w:rPr>
          <w:rFonts w:ascii="Calibri" w:hAnsi="Calibri"/>
          <w:b w:val="0"/>
          <w:color w:val="3A4A28"/>
          <w:sz w:val="20"/>
        </w:rPr>
        <w:t>The bear case centers on concentration risk and capital structure. ADMA derives substantially all revenue from two IVIG products (ASCENIV and BIVIGAM) serving a single therapeutic area — primary immunodeficiency — creating significant product and indication concentration [3]. D/E of 110.7% is elevated for a company with a relatively short profitability track record; while cash generation is improving ($40M operating cash flow in Q4 2025), the balance sheet remains more leveraged than mature biopharma peers [5]. The immunoglobulin market is dominated by CSL Behring, Grifols, and Takeda, any of which could introduce competitive IVIG products with differentiated clinical data. ADMA's Sustainalytics ESG risk rating flags 'weak' management of material ESG risk, which could affect institutional investor appetite [4]. The 2025 net income of $147M was significantly below 2024's $198M despite higher revenue, raising questions about profitability consistency as the company scales.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full year of yield-enhanced production in 2026, supporting gross margin expansion and projected $255M adjusted net income on $635M revenue [1]</w:t>
      </w:r>
    </w:p>
    <w:p>
      <w:pPr>
        <w:spacing w:before="40" w:after="40"/>
        <w:ind w:left="283"/>
      </w:pPr>
      <w:r>
        <w:rPr>
          <w:rFonts w:ascii="Calibri" w:hAnsi="Calibri"/>
          <w:b/>
          <w:color w:val="4A6B25"/>
          <w:sz w:val="20"/>
        </w:rPr>
        <w:t xml:space="preserve">2. </w:t>
      </w:r>
      <w:r>
        <w:rPr>
          <w:rFonts w:ascii="Calibri" w:hAnsi="Calibri"/>
          <w:b w:val="0"/>
          <w:color w:val="3A4A28"/>
          <w:sz w:val="20"/>
        </w:rPr>
        <w:t>McKesson Specialty distribution agreement expanding market access for ASCENIV and BIVIGAM, potentially accelerating volume growth through broader pharmacy network coverage [1]</w:t>
      </w:r>
    </w:p>
    <w:p>
      <w:pPr>
        <w:spacing w:before="40" w:after="40"/>
        <w:ind w:left="283"/>
      </w:pPr>
      <w:r>
        <w:rPr>
          <w:rFonts w:ascii="Calibri" w:hAnsi="Calibri"/>
          <w:b/>
          <w:color w:val="4A6B25"/>
          <w:sz w:val="20"/>
        </w:rPr>
        <w:t xml:space="preserve">3. </w:t>
      </w:r>
      <w:r>
        <w:rPr>
          <w:rFonts w:ascii="Calibri" w:hAnsi="Calibri"/>
          <w:b w:val="0"/>
          <w:color w:val="3A4A28"/>
          <w:sz w:val="20"/>
        </w:rPr>
        <w:t>Long-term revenue trajectory to $1.1B by 2029 (~20% CAGR) supported by expanding indications and growing immunoglobulin market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Product concentration risk — substantially all revenue from ASCENIV and BIVIGAM in a single therapeutic area, with no near-term pipeline diversification into other disease areas [3]</w:t>
      </w:r>
    </w:p>
    <w:p>
      <w:pPr>
        <w:spacing w:before="40" w:after="40"/>
        <w:ind w:left="283"/>
      </w:pPr>
      <w:r>
        <w:rPr>
          <w:rFonts w:ascii="Calibri" w:hAnsi="Calibri"/>
          <w:b/>
          <w:color w:val="4A6B25"/>
          <w:sz w:val="20"/>
        </w:rPr>
        <w:t xml:space="preserve">2. </w:t>
      </w:r>
      <w:r>
        <w:rPr>
          <w:rFonts w:ascii="Calibri" w:hAnsi="Calibri"/>
          <w:b w:val="0"/>
          <w:color w:val="3A4A28"/>
          <w:sz w:val="20"/>
        </w:rPr>
        <w:t>Plasma supply chain vulnerability — ADMA depends on sourced and collected human plasma, which faces chronic supply constraints and competition for donors from larger fractionators [1]</w:t>
      </w:r>
    </w:p>
    <w:p>
      <w:pPr>
        <w:spacing w:before="40" w:after="40"/>
        <w:ind w:left="283"/>
      </w:pPr>
      <w:r>
        <w:rPr>
          <w:rFonts w:ascii="Calibri" w:hAnsi="Calibri"/>
          <w:b/>
          <w:color w:val="4A6B25"/>
          <w:sz w:val="20"/>
        </w:rPr>
        <w:t xml:space="preserve">3. </w:t>
      </w:r>
      <w:r>
        <w:rPr>
          <w:rFonts w:ascii="Calibri" w:hAnsi="Calibri"/>
          <w:b w:val="0"/>
          <w:color w:val="3A4A28"/>
          <w:sz w:val="20"/>
        </w:rPr>
        <w:t>Competitive response from plasma giants CSL Behring, Grifols, and Takeda, who could develop differentiated IVIG products or aggressively price to defend market share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Plasma-derived biologics manufacturing is a physical-world operation that AI structurally cannot displace. Collecting human plasma, fractionating it into immunoglobulin products, and navigating FDA regulatory requirements for biologics involve deeply regulated, capital-intensive processes with multi-year barriers to entry [1]. The immunoglobulin market faces chronic supply constraints — AI cannot manufacture plasma. ADMA's ASCENIV product is differentiated by clinical outcomes data, not by information processing that AI could replicate. The primary competitive threats are other plasma fractionators (CSL Behring, Grifols, Takeda), not AI tools [3]. AI Opportunity (1/1): ADMA's proprietary ADMAlytics platform uses AI-driven process improvements to reduce manufacturing variability and improve production forecasting, demonstrating measurable AI value in operations [2]. This directly supports the yield-enhancement program that is driving margin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ADMA Biologics — Preliminary Full Year 2025 Revenue and 2026-2029 Guidance Update, January 2026</w:t>
      </w:r>
    </w:p>
    <w:p>
      <w:pPr>
        <w:spacing w:before="20" w:after="20"/>
        <w:ind w:left="170"/>
      </w:pPr>
      <w:r>
        <w:rPr>
          <w:rFonts w:ascii="Calibri" w:hAnsi="Calibri"/>
          <w:b/>
          <w:color w:val="4A6B25"/>
          <w:sz w:val="15"/>
        </w:rPr>
        <w:t xml:space="preserve">2. </w:t>
      </w:r>
      <w:r>
        <w:rPr>
          <w:rFonts w:ascii="Calibri" w:hAnsi="Calibri"/>
          <w:b w:val="0"/>
          <w:color w:val="3A4A28"/>
          <w:sz w:val="17"/>
        </w:rPr>
        <w:t>ADMA Biologics — Senior Leadership Team, ADMAlytics AI platform, and CEO profile,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ADMA Biologics — Corporate website, mission, product portfolio, and pipeline,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 ADMA Biologics ESG Risk Rating,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ADMA,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