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ADM</w:t>
      </w:r>
      <w:r>
        <w:rPr>
          <w:rFonts w:ascii="Calibri" w:hAnsi="Calibri"/>
          <w:b/>
          <w:color w:val="1A2010"/>
          <w:sz w:val="40"/>
        </w:rPr>
        <w:t xml:space="preserve">  Archer-Daniels-Midland Company</w:t>
      </w:r>
    </w:p>
    <w:p>
      <w:pPr>
        <w:spacing w:after="120"/>
      </w:pPr>
      <w:r>
        <w:rPr>
          <w:rFonts w:ascii="Calibri" w:hAnsi="Calibri"/>
          <w:b/>
          <w:color w:val="6E8450"/>
          <w:sz w:val="18"/>
        </w:rPr>
        <w:t>DIVIDEND SLEEVE · 2026-04-02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NYSE · United States</w:t>
      </w:r>
    </w:p>
    <w:p>
      <w:pPr>
        <w:spacing w:after="80"/>
      </w:pPr>
      <w:r>
        <w:rPr>
          <w:rFonts w:ascii="Calibri" w:hAnsi="Calibri"/>
          <w:b w:val="0"/>
          <w:color w:val="3A4A28"/>
          <w:sz w:val="20"/>
        </w:rPr>
        <w:t>Archer-Daniels-Midland originates, processes, and distributes agricultural commodities across three segments: Ag Services &amp; Oilseeds, Carbohydrate Solutions, and Nutrition. The company operates a global network for crushing, merchandising, and transporting grains and oilseeds, producing vegetable oils, protein meals, ethanol, and specialty nutrition ingredients. Founded in 1902, ADM is one of the world's largest agricultural processors.</w:t>
      </w:r>
    </w:p>
    <w:p>
      <w:r>
        <w:rPr>
          <w:rFonts w:ascii="Calibri" w:hAnsi="Calibri"/>
          <w:b/>
          <w:color w:val="6E8450"/>
          <w:sz w:val="18"/>
        </w:rPr>
        <w:t>40,798 Employees · https://www.adm.com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ADM launched the Nutrition segment as a higher-margin growth platform through the 2014 Wild Flavors and 2017 Neovia acquisitions, but the segment has underperformed — the SEC/DOJ accounting probe into intersegment sales specifically targeted Nutrition, and FY2025 adjusted EPS fell to $3.43 from $5.62 in FY2024 amid commodity margin normalization [1]. AI Deployment (0/2): No evidence of customer-facing AI products or quantified AI-driven cost savings; ADM's digital efforts remain limited to the GrainBridge joint venture with Cargill, a software platform for grain stakeholders [2]. Market Share (1/2): ADM is one of the four global ABCD grain traders (alongside Bunge, Cargill, Louis Dreyfus) with leading positions in soybean crushing and corn processing in North America, though market share is stable rather than gaining [1]. Pipeline (1/2): Company is expanding US soy crush capacity and investing in carbon capture and sequestration through the Illinois decarbonization hub; capex guidance of $1.3-1.5B for FY2026 [1]. R&amp;D Intensity (1/1): R&amp;D spending in specialty ingredients and nutrition science is at or above agricultural industry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ADM's stated purpose is to 'unlock the potential of nature to enrich the quality of life' — clear and relevant to what the company does but not distinctive or deeply aspirational; it reads as a well-crafted ag-industry mission rather than a transformative Just Cause [4]. Community Impact (1/2): ADM operates the ADM Cares program with charitable giving focused on food security and sustainable agriculture, though specific dollar amounts and measurable impact are not prominently disclosed [4]. Employee Retention (1/2): Glassdoor rating of 3.9/5 with 80% recommending ADM as an employer; some reviewers cite culture and career development as strengths, though others note limited growth opportunities and work-life balance issues [2]. Insider Buying (1/2): CEO Juan Luciano holds significant equity through compensation ($21.57M total comp, 93% stock-based), but net insider transaction data shows largely routine selling rather than conviction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ADM's infrastructure score benefits from exceptional dividend history and low leverage, partially offset by weak profitability and declining revenues. D/E of 42.4% is well below the 70% target [5]. ROE of 4.7% is far below the 15% target, reflecting the FY2025 earnings collapse from the accounting probe and commodity margin compression [1]. Revenue declined 13.7% YoY to $80.3B, though 5yr CAGR remains positive at ~4.5% [5]. Forward P/E of 14.9x is attractive below the 20x target. Profit margin of 1.3% is severely depressed (target 20%) due to commodity pass-through revenue model and margin headwinds [5]. Payout ratio of 91.5% is elevated due to depressed earnings. ADM is a Dividend Aristocrat with 51 consecutive years of dividend growth and 43+ years of continuous payments, earning full marks on tenure metrics [5]. Dividend growth CAGR of ~7% over 5 years exceeds the 6% target. Liquidity floor easily cleared at $296M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ADM operates with a mixed infinite/finite mindset. The 122-year history and Dividend Aristocrat status demonstrate long-term staying power, but the SEC/DOJ accounting investigation and earnings volatility suggest governance gaps that undermine trust. CEO Luciano has led since 2015 with a focus on diversifying into nutrition, but the Nutrition segment's accounting problems raise questions about whether growth was pursued sustainably.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ADM's purpose of 'unlocking the potential of nature' connects the business to food security, but it reads more as corporate positioning than a deeply held cause that drives strategic sacrifice. The company's 122-year longevity shows staying power, but strategic decisions appear driven more by commodity economics than by a guiding vision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3.9/5 rating and 80% recommendation rate suggest adequate employee trust [2]. However, the CFO replacement following the SEC/DOJ accounting probe and leadership turnover in the Nutrition division signal organizational instability at senior levels. The company brought in new financial leadership from Cargill to restore credibility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ADM's competitive language focuses on market position and scale advantages within the ABCD oligopoly rather than learning from rivals. The GrainBridge joint venture with Cargill showed collaborative thinking, but this is an exception rather than a pattern of competitive humility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ADM's push into the Nutrition segment represented meaningful strategic evolution from pure commodity processing into higher-margin specialty ingredients, demonstrating willingness to evolve. The carbon capture and decarbonization initiatives show adaptive thinking [1]. However, these have been incremental extensions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sustained investment in Nutrition and sustainability through commodity downturns shows some long-term vision. The $1.3-1.5B FY2026 capex commitment despite depressed earnings demonstrates investment conviction [1]. However, the accounting irregularities in the Nutrition segment suggest growth was pursued with insufficient governance oversight, undermining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ADM is a 122-year-old agricultural processing giant trading at a depressed valuation (14.9x forward P/E) with an attractive 2.87% dividend yield backed by 51 consecutive years of growth — a Dividend Aristocrat pedigree that few companies match [1][5]. FY2026 EPS guidance of $3.60-$4.25 implies meaningful recovery from the $3.43 adjusted EPS trough in FY2025, supported by normalizing crush margins, US soy crush capacity expansion, and potential biofuel policy tailwinds from the 45Z tax credit and favorable RVOs [1]. The company's global infrastructure network of processing plants, port terminals, and rail logistics is irreplaceable and positions ADM to benefit from long-term global food demand growth.</w:t>
      </w:r>
    </w:p>
    <w:p>
      <w:pPr>
        <w:spacing w:after="120"/>
      </w:pPr>
      <w:r>
        <w:rPr>
          <w:rFonts w:ascii="Calibri" w:hAnsi="Calibri"/>
          <w:b w:val="0"/>
          <w:color w:val="3A4A28"/>
          <w:sz w:val="20"/>
        </w:rPr>
        <w:t>The bear case is significant. The ongoing SEC/DOJ investigation into intersegment sales accounting in the Nutrition segment creates material governance risk and could result in fines, restatements, or further leadership upheaval [3]. Revenue has declined from $101.6B (2022) to $80.3B (2025) as commodity prices normalized post-pandemic, and profit margins of 1.3% are razor-thin with limited room for error [5]. The 91.5% payout ratio on trailing earnings is unsustainable at current profit levels, though forward earnings should bring this down. Analysts are bearish with an average price target of $57, well below the current $72.37 share price, suggesting the market may be pricing in more recovery than fundamentals support [1]. Xinjiang supply chain concerns through the Wilmar International stake add ESG headline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Biofuel policy clarity — extension of the 45Z tax credit and favorable RVOs would directly boost soybean oil demand and ADM's crush margins, the single largest earnings driver [1]</w:t>
      </w:r>
    </w:p>
    <w:p>
      <w:pPr>
        <w:spacing w:before="40" w:after="40"/>
        <w:ind w:left="283"/>
      </w:pPr>
      <w:r>
        <w:rPr>
          <w:rFonts w:ascii="Calibri" w:hAnsi="Calibri"/>
          <w:b/>
          <w:color w:val="4A6B25"/>
          <w:sz w:val="20"/>
        </w:rPr>
        <w:t xml:space="preserve">2. </w:t>
      </w:r>
      <w:r>
        <w:rPr>
          <w:rFonts w:ascii="Calibri" w:hAnsi="Calibri"/>
          <w:b w:val="0"/>
          <w:color w:val="3A4A28"/>
          <w:sz w:val="20"/>
        </w:rPr>
        <w:t>Crush margin normalization and US soy crush capacity expansion expected to drive operating leverage on ADM's fixed-cost processing infrastructure [1]</w:t>
      </w:r>
    </w:p>
    <w:p>
      <w:pPr>
        <w:spacing w:before="40" w:after="40"/>
        <w:ind w:left="283"/>
      </w:pPr>
      <w:r>
        <w:rPr>
          <w:rFonts w:ascii="Calibri" w:hAnsi="Calibri"/>
          <w:b/>
          <w:color w:val="4A6B25"/>
          <w:sz w:val="20"/>
        </w:rPr>
        <w:t xml:space="preserve">3. </w:t>
      </w:r>
      <w:r>
        <w:rPr>
          <w:rFonts w:ascii="Calibri" w:hAnsi="Calibri"/>
          <w:b w:val="0"/>
          <w:color w:val="3A4A28"/>
          <w:sz w:val="20"/>
        </w:rPr>
        <w:t>Resolution of SEC/DOJ Nutrition segment investigation — a settlement or clearance would remove a major governance overhang and could unlock re-rating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SEC/DOJ accounting investigation into Nutrition intersegment sales — potential fines, restatements, or forced divestitures could materially damage earnings and reputation [3]</w:t>
      </w:r>
    </w:p>
    <w:p>
      <w:pPr>
        <w:spacing w:before="40" w:after="40"/>
        <w:ind w:left="283"/>
      </w:pPr>
      <w:r>
        <w:rPr>
          <w:rFonts w:ascii="Calibri" w:hAnsi="Calibri"/>
          <w:b/>
          <w:color w:val="4A6B25"/>
          <w:sz w:val="20"/>
        </w:rPr>
        <w:t xml:space="preserve">2. </w:t>
      </w:r>
      <w:r>
        <w:rPr>
          <w:rFonts w:ascii="Calibri" w:hAnsi="Calibri"/>
          <w:b w:val="0"/>
          <w:color w:val="3A4A28"/>
          <w:sz w:val="20"/>
        </w:rPr>
        <w:t>Persistent commodity oversupply and margin compression — ADM's 1.3% profit margin leaves zero cushion for execution missteps in a low-margin commodity business [1][5]</w:t>
      </w:r>
    </w:p>
    <w:p>
      <w:pPr>
        <w:spacing w:before="40" w:after="40"/>
        <w:ind w:left="283"/>
      </w:pPr>
      <w:r>
        <w:rPr>
          <w:rFonts w:ascii="Calibri" w:hAnsi="Calibri"/>
          <w:b/>
          <w:color w:val="4A6B25"/>
          <w:sz w:val="20"/>
        </w:rPr>
        <w:t xml:space="preserve">3. </w:t>
      </w:r>
      <w:r>
        <w:rPr>
          <w:rFonts w:ascii="Calibri" w:hAnsi="Calibri"/>
          <w:b w:val="0"/>
          <w:color w:val="3A4A28"/>
          <w:sz w:val="20"/>
        </w:rPr>
        <w:t>Xinjiang exposure through 22.5% Wilmar International stake — potential ESG fund exclusion and reputational damage if forced labor links are substantiated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ADM's core business — physical origination, transportation, crushing, and processing of agricultural commodities — is structurally immune to AI disruption. Grain handling, oilseed crushing, and ethanol production require massive physical infrastructure (processing plants, port terminals, rail networks, storage elevators) that AI cannot replicate or substitute [2]. The commodity trading and logistics network involves physical asset management and relationships with farmers, governments, and transportation providers that resist digital displacement. AI may actually increase demand for ADM's products as data center power consumption drives electricity demand and biofuel requirements [2]. AI Opportunity (0/1): ADM does not generate meaningful revenue from AI products; the GrainBridge joint venture is a modest digital platform, not an AI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ADM FY2025 Earnings Release and FY2026 Guidance — $80.3B revenue, $3.43 adjusted EPS, $3.60-$4.25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ADM Leadership, GrainBridge, and Glassdoor Reviews (3.9/5, 80% recommend) — Craft.co, Glassdoor,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Hunterbrook Media, Glass Lewis, Simply Wall St — ADM SEC/DOJ investigation, Xinjiang controversy, ESG ratings, 2024-2026</w:t>
      </w:r>
    </w:p>
    <w:p>
      <w:pPr>
        <w:spacing w:before="20" w:after="20"/>
        <w:ind w:left="170"/>
      </w:pPr>
      <w:r>
        <w:rPr>
          <w:rFonts w:ascii="Calibri" w:hAnsi="Calibri"/>
          <w:b/>
          <w:color w:val="4A6B25"/>
          <w:sz w:val="15"/>
        </w:rPr>
        <w:t xml:space="preserve">4. </w:t>
      </w:r>
      <w:r>
        <w:rPr>
          <w:rFonts w:ascii="Calibri" w:hAnsi="Calibri"/>
          <w:b w:val="0"/>
          <w:color w:val="3A4A28"/>
          <w:sz w:val="17"/>
        </w:rPr>
        <w:t>ADM Corporate Website — Mission statement, sustainability programs, ADM Cares,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 ADM key statistics, financial data, dividend history,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