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ADSK</w:t>
      </w:r>
      <w:r>
        <w:rPr>
          <w:rFonts w:ascii="Calibri" w:hAnsi="Calibri"/>
          <w:b/>
          <w:color w:val="1A2010"/>
          <w:sz w:val="40"/>
        </w:rPr>
        <w:t xml:space="preserve">  Autodesk, Inc.</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Autodesk, Inc. provides design, engineering, and construction software for architecture, engineering, construction (AEC), product design and manufacturing, and media and entertainment industries worldwide. Key products include AutoCAD, Revit, Fusion 360, and 3ds Max. The company has transitioned to a cloud-based subscription model and is integrating AI across its portfolio.</w:t>
      </w:r>
    </w:p>
    <w:p>
      <w:r>
        <w:rPr>
          <w:rFonts w:ascii="Calibri" w:hAnsi="Calibri"/>
          <w:b/>
          <w:color w:val="6E8450"/>
          <w:sz w:val="18"/>
        </w:rPr>
        <w:t>14,300 Employees · https://www.autodesk.com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Autodesk delivered 18% revenue growth to $7.2B in FY2026 with billings surging 30% to $7.8B, capping a multi-year transformation from perpetual licenses to cloud subscriptions that fundamentally reshaped the business model [1]. Free cash flow of $2.4B (54% growth, 33% FCF margin) validates the subscription economics. AI Deployment (2/2): Autodesk is the subject of a Stanford Business School case study on 'Reimagining the Future with AI' — CEO Anagnost is deploying AI across the portfolio including generative design in Fusion 360, AI assistants in AutoCAD, and a 'discovery mentality' encouraging managers to roll out AI experiments [2]. Market Share (2/2): Autodesk is the dominant design software platform — AutoCAD is the global standard for 2D/3D drafting, Revit leads BIM for architecture and engineering, and Fusion 360 is gaining share in manufacturing. The company serves over 4 million subscribers across industries [1]. Pipeline (1/2): FY2027 guidance of $8.1-8.17B revenue (12-13% growth), $12.29-$12.56 non-GAAP EPS (18-20% growth) is specific, but next-gen product roadmap details beyond AI integration are less concrete [1]. R&amp;D Intensity (1/1): As a software company, R&amp;D IS the product — substantial investment in AI, cloud platform, and product development across AEC, manufacturing, and M&amp;E verticals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Autodesk's mission to help people 'design and make a better world' is specific, thoughtful, and connects the company's design tools to sustainability, construction efficiency, and manufacturing innovation [4]. The mission has shaped strategic decisions — the company powers operations with 100% renewable energy and has neutralized GHG emissions across its value chain via the Autodesk Carbon Fund. It differentiates from generic tech mission statements. Community Impact (1/2): 14,300 employees globally, 100% renewable energy operations, carbon-neutral value chain through the Autodesk Carbon Fund, and Autodesk Foundation supporting sustainable design education [4]. Employee Retention (1/2): Glassdoor shows 80% would recommend Autodesk to a friend, 4.2/5 work-life balance, and 4.1/5 culture and values across 4,567 reviews [2]. Some negative reviews cite weak management and politics, but overall sentiment is above industry average. Insider Buying (1/2): CEO Andrew Anagnost has served 8 years with significant equity compensation alignment. No specific recent open-market purchases identified, but long tenure through the painful subscription transition demonstrates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Autodesk's financial profile is exceptional across nearly every metric. FY2026 revenue of $7.2B grew 18% with non-GAAP operating margin expanding 200bps to 38% [1]. Free cash flow of $2.4B (54% growth) demonstrates the power of the subscription model — recurring revenue with expanding margins. Forward P/E of 17.0x and estimated Forward PEG of 0.89x are attractive for a dominant software company growing revenue at 12-13% with 18-20% EPS growth guided for FY2027 [1][5]. ROE of 39.7% and 13% three-year revenue CAGR reflect consistent compounding. D/E of 89.8% is manageable for a cash-generative software business. GAAP profit margin of 15.6% understates economics — non-GAAP operating margin is 38% [1]. The only blemish is that GAAP profitability is depressed by stock-based compensation. FY2027 billings guidance of $8.5-8.6B provides revenue visibility. Liquidity floor easily cleared: $548M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Autodesk under CEO Anagnost demonstrates meaningful infinite game characteristics — the bold subscription transition sacrificed years of near-term revenue for long-term recurring economics, the 'design and make a better world' mission shapes strategic decisions, and the company's willingness to embrace AI disruption rather than resist it shows adaptability. Sinek would credit the courage of the subscription pivot and the genuine mission, but would note that the company's AI anxiety (declining employee optimism) and periodic restructuring suggest the infinite mindset is aspirational rather than fully embedded.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Autodesk's purpose to help people 'design and make a better world' connects the company's design software to tangible outcomes — sustainable buildings, efficient manufacturing, reduced waste [4]. This is specific enough to differentiate from generic tech missions and has been partially validated by the subscription transition and sustainability investments. However, it hasn't been tested through an existential crisis or leadership transition at the Sinek-level 3/3 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shows 80% of 4,567 reviewers would recommend Autodesk, with 4.1/5 culture and values — above average for enterprise software [2]. The 'discovery mentality' empowering managers to experiment with AI suggests some organizational trust. However, reviews also cite 'politics and weak leadership' and slow action on underperformers, indicating trust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Autodesk operates in a competitive landscape with Bentley Systems (infrastructure), Dassault Systemes (manufacturing), and emerging AI-native design startups. Management's decision to embed AI across the portfolio — rather than ignoring AI competitors — demonstrates learning from competitive pressure [2]. The Stanford case study on Autodesk's AI strategy explicitly frames the company's response to competitive AI disruption as a strategic learning exercise.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Autodesk's subscription transition was a significant platform shift — abandoning the profitable perpetual license model for cloud-based subscriptions required years of revenue sacrifice and organizational restructuring [1]. This showed meaningful flexibility. The current AI integration strategy is incremental from the cloud platform rather than another transformative pivot, though the pace of AI adoption internally suggests willingness to evolve further.</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subscription transition is the defining act of courage — Autodesk walked away from profitable perpetual license revenue for years of uncertainty, enduring revenue declines and investor criticism before the model proved out with $7.2B in subscription revenue and $2.4B in FCF [1]. CEO Anagnost's 8-year tenure through this transformation, the continued investment in AI despite employee anxiety, and the willingness to publicly address AI disruption risk demonstrate a pattern of choosing long-term capability over short-term comfort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Autodesk is the dominant design software platform serving architecture, engineering, construction, and manufacturing — delivering FY2026 revenue of $7.2B (18% growth), billings of $7.8B (30% growth), and free cash flow of $2.4B (54% growth, 33% FCF margin) [1]. The completed subscription transition has created a recurring revenue engine with expanding margins (non-GAAP operating margin 38%, up 200bps) and exceptional revenue visibility. At 17.0x forward P/E and an estimated 0.89x forward PEG, Autodesk is attractively valued for a dominant franchise growing 12-13% revenue with 18-20% EPS growth guided for FY2027 [1][5]. AutoCAD and Revit are industry-standard tools with deep workflow integration, high switching costs, and regulatory entrenchment in AEC — creating a durable competitive moat. CEO Anagnost's proactive AI integration strategy positions the company to enhance rather than be disrupted by generative AI.</w:t>
      </w:r>
    </w:p>
    <w:p>
      <w:pPr>
        <w:spacing w:after="120"/>
      </w:pPr>
      <w:r>
        <w:rPr>
          <w:rFonts w:ascii="Calibri" w:hAnsi="Calibri"/>
          <w:b w:val="0"/>
          <w:color w:val="3A4A28"/>
          <w:sz w:val="20"/>
        </w:rPr>
        <w:t>The bear case centers on AI disruption risk and valuation sustainability. Generative AI poses real substitution risk for simpler design tasks — AI-native tools could bypass AutoCAD for basic drafting, and 48% of Autodesk's own survey respondents believe AI will destabilize their industry [2]. Employee optimism around AI has declined 11 points, suggesting internal uncertainty about the AI transition. GAAP profitability (15.6% margin, $5.24 EPS) significantly lags non-GAAP (38% margin, $10.43 EPS) due to heavy stock-based compensation that dilutes shareholders. D/E of 89.8% adds balance sheet risk for a software company. Revenue growth is expected to decelerate from 18% (FY2026) to 12-13% (FY2027), and any slowdown in AEC construction activity or manufacturing capex could further compress growth rates [1]. The $50.7B market cap requires sustained double-digit growth and margin expansion to justify the valuation — any misstep on the AI strategy or macro headwinds could lead to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integration across the Autodesk portfolio — generative design, AI assistants, and automated workflows that increase subscription value and pricing power while defending against AI-native competitors [2]</w:t>
      </w:r>
    </w:p>
    <w:p>
      <w:pPr>
        <w:spacing w:before="40" w:after="40"/>
        <w:ind w:left="283"/>
      </w:pPr>
      <w:r>
        <w:rPr>
          <w:rFonts w:ascii="Calibri" w:hAnsi="Calibri"/>
          <w:b/>
          <w:color w:val="4A6B25"/>
          <w:sz w:val="20"/>
        </w:rPr>
        <w:t xml:space="preserve">2. </w:t>
      </w:r>
      <w:r>
        <w:rPr>
          <w:rFonts w:ascii="Calibri" w:hAnsi="Calibri"/>
          <w:b w:val="0"/>
          <w:color w:val="3A4A28"/>
          <w:sz w:val="20"/>
        </w:rPr>
        <w:t>FY2027 guidance of $8.1-8.17B revenue (12-13% growth) with $12.29-$12.56 non-GAAP EPS (18-20% growth), demonstrating continued margin expansion and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Free cash flow trajectory toward $3B+ as subscription economics mature, enabling share buybacks, acquisitions, or capital return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disruption — AI-native design tools could automate simpler drafting and design tasks, potentially commoditizing portions of Autodesk's core CAD/BIM business as acknowledged by 48% of the company's own survey respondents [2]</w:t>
      </w:r>
    </w:p>
    <w:p>
      <w:pPr>
        <w:spacing w:before="40" w:after="40"/>
        <w:ind w:left="283"/>
      </w:pPr>
      <w:r>
        <w:rPr>
          <w:rFonts w:ascii="Calibri" w:hAnsi="Calibri"/>
          <w:b/>
          <w:color w:val="4A6B25"/>
          <w:sz w:val="20"/>
        </w:rPr>
        <w:t xml:space="preserve">2. </w:t>
      </w:r>
      <w:r>
        <w:rPr>
          <w:rFonts w:ascii="Calibri" w:hAnsi="Calibri"/>
          <w:b w:val="0"/>
          <w:color w:val="3A4A28"/>
          <w:sz w:val="20"/>
        </w:rPr>
        <w:t>Revenue deceleration from 18% (FY2026) to 12-13% (FY2027) may not fully reflect macro headwinds — AEC construction slowdown or tariff-related capex reductions could compress growth further [1]</w:t>
      </w:r>
    </w:p>
    <w:p>
      <w:pPr>
        <w:spacing w:before="40" w:after="40"/>
        <w:ind w:left="283"/>
      </w:pPr>
      <w:r>
        <w:rPr>
          <w:rFonts w:ascii="Calibri" w:hAnsi="Calibri"/>
          <w:b/>
          <w:color w:val="4A6B25"/>
          <w:sz w:val="20"/>
        </w:rPr>
        <w:t xml:space="preserve">3. </w:t>
      </w:r>
      <w:r>
        <w:rPr>
          <w:rFonts w:ascii="Calibri" w:hAnsi="Calibri"/>
          <w:b w:val="0"/>
          <w:color w:val="3A4A28"/>
          <w:sz w:val="20"/>
        </w:rPr>
        <w:t>GAAP vs. non-GAAP disconnect — $5.24 GAAP EPS vs. $10.43 non-GAAP EPS (50% gap) reflects heavy stock-based compensation that dilutes shareholders even as non-GAAP metrics look strong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Autodesk occupies a complex position in the AI landscape — simultaneously deploying AI and exposed to AI disruption. Generative AI could automate significant portions of the design, drafting, and engineering workflows that Autodesk tools currently enable [2]. Startups offering AI-native design tools could potentially bypass AutoCAD/Revit entirely for simpler design tasks. 48% of Autodesk's own survey respondents said AI would 'destabilize their industry,' and CEO Anagnost publicly addressed declining employee optimism around AI [2]. However, Autodesk's massive installed base, deep integration into construction/manufacturing workflows, regulatory compliance requirements in AEC, and proprietary data moats provide meaningful protection. AI is more likely to enhance Autodesk's platform value than replace it for complex design — but the substitution risk for simpler tasks is real and acknowledged by management. AI Opportunity (1/1): Autodesk generates AI-related revenue through generative design in Fusion 360, AI assistants across products, and AI-powered sustainability analysis tools — these are shipping features included in subscriptions generating $7.2B annually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Autodesk FY2026 Q4 and Full Year Earnings Release — $7.2B revenue, $2.4B FCF, FY2027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Autodesk CEO Andrew Anagnost AI Strategy — Stanford GSB case study, Fortune articles on AI culture and disruption response, 2025-2026</w:t>
      </w:r>
    </w:p>
    <w:p>
      <w:pPr>
        <w:spacing w:before="20" w:after="20"/>
        <w:ind w:left="170"/>
      </w:pPr>
      <w:r>
        <w:rPr>
          <w:rFonts w:ascii="Calibri" w:hAnsi="Calibri"/>
          <w:b/>
          <w:color w:val="4A6B25"/>
          <w:sz w:val="15"/>
        </w:rPr>
        <w:t xml:space="preserve">3. </w:t>
      </w:r>
      <w:r>
        <w:rPr>
          <w:rFonts w:ascii="Calibri" w:hAnsi="Calibri"/>
          <w:b w:val="0"/>
          <w:color w:val="3A4A28"/>
          <w:sz w:val="17"/>
        </w:rPr>
        <w:t>Autodesk Glassdoor Reviews — 4,567 reviews, 80% recommend, 4.2/5 work-life balance,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Autodesk ESG and Impact Report — 100% renewable energy, carbon fund, sustainability initiatives, FY2024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ADSK (Autodesk),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