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AEG</w:t>
      </w:r>
      <w:r>
        <w:rPr>
          <w:rFonts w:ascii="Calibri" w:hAnsi="Calibri"/>
          <w:b/>
          <w:color w:val="1A2010"/>
          <w:sz w:val="40"/>
        </w:rPr>
        <w:t xml:space="preserve">  Aegon Ltd.</w:t>
      </w:r>
    </w:p>
    <w:p>
      <w:pPr>
        <w:spacing w:after="120"/>
      </w:pPr>
      <w:r>
        <w:rPr>
          <w:rFonts w:ascii="Calibri" w:hAnsi="Calibri"/>
          <w:b/>
          <w:color w:val="6E8450"/>
          <w:sz w:val="18"/>
        </w:rPr>
        <w:t>DIVIDEND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Diversified · NYSE · Netherlands</w:t>
      </w:r>
    </w:p>
    <w:p>
      <w:pPr>
        <w:spacing w:after="80"/>
      </w:pPr>
      <w:r>
        <w:rPr>
          <w:rFonts w:ascii="Calibri" w:hAnsi="Calibri"/>
          <w:b w:val="0"/>
          <w:color w:val="3A4A28"/>
          <w:sz w:val="20"/>
        </w:rPr>
        <w:t>Aegon is a Dutch-headquartered life insurance, pensions, and asset management company operating primarily in the Americas (Transamerica brand), the Netherlands, and the United Kingdom. Founded in 1844, the company operates through Distribution, Protection Solutions, and Savings &amp; Investments segments and has been undergoing a multi-year transformation to divest noncore operations and improve its risk profile.</w:t>
      </w:r>
    </w:p>
    <w:p>
      <w:r>
        <w:rPr>
          <w:rFonts w:ascii="Calibri" w:hAnsi="Calibri"/>
          <w:b/>
          <w:color w:val="6E8450"/>
          <w:sz w:val="18"/>
        </w:rPr>
        <w:t>15,304 Employees · https://www.aegon.com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Aegon reported $12.2B in total revenue with 8.0% profit margin and $0.69 trailing EPS, but revenue declined 13.7% YoY and earnings fell 46.7% — a deteriorating trajectory despite the multi-year transformation program [1]. AI Deployment (1/2): Aegon/Transamerica has implemented AI governance frameworks and uses AI in compliance monitoring, customer interactions, and claims processing, reflecting incremental rather than transformative AI adoption [2]. Market Share (1/2): Aegon holds meaningful positions in U.S. retirement (Transamerica) and European insurance markets but lacks dominant share in any segment and faces intense competition from MetLife, Prudential, and AXA. Pipeline (0/2): Revenue forecast to decline a further 7.5% in 2026, below the insurance industry average growth of 4.3% — no visible growth pipeline [1]. R&amp;D Intensity (1/1): Active ESG integration in asset management and product innovation in digital insurance platforms demonstrates effort to modernize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Aegon's mission to help people achieve financial security through insurance, pensions, and asset management is functionally important but not uniquely inspirational. The 182-year history provides institutional credibility [1]. Community Impact (1/2): 15,304 employees across multiple countries and management of retirement assets for millions of policyholders create substantial societal impact through financial security provision. Employee Retention (1/2): Glassdoor rating of 3.5/5 with only 54% recommending to a friend is below average. Reviews consistently cite poor senior management, unclear strategic direction, and below-market compensation — 'Business / senior management is absolute chaos' appears in multiple reviews [2]. Insider Buying (0/2): No evidence of significant insider buying; the forward P/E of 17.6x versus trailing P/E of 10.5x suggests analysts expect near-term earnings compression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Aegon's financial profile reflects a company in transition. The 6.76% dividend yield with a 62.8% payout ratio is attractive for income investors, supported by the $11.0B market cap and 182-year operating history [5]. D/E of 56.9% is manageable for a diversified insurer. However, ROE of 10.4% is mediocre, profit margin of 8.0% is thin for insurance, and the disconnect between trailing P/E (10.5x) and forward P/E (17.6x) signals expected earnings deterioration [5]. Revenue declined 13.7% YoY with earnings down 46.7%, and 2026 forecasts project further revenue decline of 7.5% [1]. EPS consensus of $0.97 for 2026 (up from $0.69) implies some recovery. Liquidity floor easily cleared: 5.8M avg vol × $7.26 = ~$41.9M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Aegon's 182-year history and multi-year transformation program demonstrate institutional patience, but the declining revenue trajectory, leadership criticism, and unclear strategic direction suggest a company struggling to adapt rather than playing the infinite game with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Aegon's purpose — helping people achieve financial security — is societally valuable but commoditized across the insurance industry. The company's sustainability roadmap with ESG exclusions (controversial weapons, coal, tobacco) and 50% of executive variable compensation tied to non-financial KPIs (including ESG) show some cause-driven governance [3]. However, the 182-year-old company lacks a distinctive just cause that differentiates it from competitors.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3.5/5 rating with only 54% recommending Aegon as an employer signals meaningful trust deficits [2]. Reviews consistently cite 'poor management,' 'absolute chaos in senior management,' and 'lack of clarity in strategic objectives.' The 4.0/5 work-life balance score is the bright spot, but the 3.2/5 career opportunities rating suggests limited investment in employee growth. The ongoing transformation program likely creates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Aegon competes against global insurers (AXA, Allianz, MetLife, Prudential) and acknowledges competitive pressure through its transformation program to divest noncore operations [1]. However, the revenue decline and loss of market position suggest Aegon is retreating from competition rather than using rivals to sharpen its own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Aegon has shown willingness to reinvent itself through the extensive transformation program — divesting noncore operations, shifting focus to higher-return segments, and expanding in growth markets (Brazil, China, Portugal, Spain) [1]. The pivot from a sprawling conglomerate to a more focused insurer demonstrates strategic flexibility, though execution has been slow and revenue continues to decline.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Aegon's decision to undergo a painful multi-year transformation rather than maintaining the status quo required leadership courage. The ESG exclusion policy covering weapons, coal, oil sands, and tobacco across 136 companies demonstrates principled investing [3]. However, Glassdoor reviews suggest leadership lacks the clarity and decisiveness needed to inspire confidence — 'CEO does not take decisions on his own'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Aegon offers a 6.76% dividend yield at a trailing P/E of 10.5x, making it one of the higher-yielding large-cap insurance stocks globally [5]. The 182-year-old company is midway through a transformation to shed noncore operations and focus on higher-return segments — Transamerica in the U.S., and growth markets in Brazil, China, Portugal, and Spain [1]. Analyst consensus forecasts EPS recovery to $0.97 in 2026 from $0.69 currently, implying 40% earnings growth that could support the dividend and share price appreciation. The $11.0B market cap and D/E of 56.9% provide reasonable financial stability for a diversified insurer. ESG integration with exclusion policies across 136 companies and 15 countries, plus 50% of executive compensation tied to non-financial KPIs, demonstrate governance commitment [3].</w:t>
      </w:r>
    </w:p>
    <w:p>
      <w:pPr>
        <w:spacing w:after="120"/>
      </w:pPr>
      <w:r>
        <w:rPr>
          <w:rFonts w:ascii="Calibri" w:hAnsi="Calibri"/>
          <w:b w:val="0"/>
          <w:color w:val="3A4A28"/>
          <w:sz w:val="20"/>
        </w:rPr>
        <w:t>The bear case centers on a company in secular decline. Revenue fell 13.7% YoY and is forecast to decline another 7.5% in 2026, meaningfully underperforming the insurance industry average growth of 4.3% [1]. Earnings dropped 46.7% with profit margin at just 8.0% — thin for insurance. The forward P/E of 17.6x versus trailing P/E of 10.5x reveals the market expects near-term earnings pressure before any recovery. Glassdoor's 3.5/5 rating with only 54% recommending Aegon as an employer, combined with consistent criticism of 'chaotic' senior management and unclear strategic direction, suggests deep organizational dysfunction [2]. The multi-year transformation program has yet to inflect revenue growth positively. AI disruption risk is material — insurtechs are capturing market share with superior digital experiences and AI-driven pricing. Geographic complexity across the Americas, Netherlands, UK, and emerging markets adds operational overhead without clear synergies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Analyst-projected EPS recovery to $0.97 in 2026 (from $0.69 trailing) driven by transformation cost savings and improved segment mix [1]</w:t>
      </w:r>
    </w:p>
    <w:p>
      <w:pPr>
        <w:spacing w:before="40" w:after="40"/>
        <w:ind w:left="283"/>
      </w:pPr>
      <w:r>
        <w:rPr>
          <w:rFonts w:ascii="Calibri" w:hAnsi="Calibri"/>
          <w:b/>
          <w:color w:val="4A6B25"/>
          <w:sz w:val="20"/>
        </w:rPr>
        <w:t xml:space="preserve">2. </w:t>
      </w:r>
      <w:r>
        <w:rPr>
          <w:rFonts w:ascii="Calibri" w:hAnsi="Calibri"/>
          <w:b w:val="0"/>
          <w:color w:val="3A4A28"/>
          <w:sz w:val="20"/>
        </w:rPr>
        <w:t>6.76% dividend yield with 62.8% payout ratio provides income support while the transformation plays out, backed by $11.0B market cap and 182-year operating history [5]</w:t>
      </w:r>
    </w:p>
    <w:p>
      <w:pPr>
        <w:spacing w:before="40" w:after="40"/>
        <w:ind w:left="283"/>
      </w:pPr>
      <w:r>
        <w:rPr>
          <w:rFonts w:ascii="Calibri" w:hAnsi="Calibri"/>
          <w:b/>
          <w:color w:val="4A6B25"/>
          <w:sz w:val="20"/>
        </w:rPr>
        <w:t xml:space="preserve">3. </w:t>
      </w:r>
      <w:r>
        <w:rPr>
          <w:rFonts w:ascii="Calibri" w:hAnsi="Calibri"/>
          <w:b w:val="0"/>
          <w:color w:val="3A4A28"/>
          <w:sz w:val="20"/>
        </w:rPr>
        <w:t>Growth market expansion in Brazil, China, Portugal, and Spain could offset mature market revenue declines if executed successfully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 13.7% YoY drop with further 7.5% decline forecast for 2026, significantly underperforming the insurance industry average growth of 4.3% [1]</w:t>
      </w:r>
    </w:p>
    <w:p>
      <w:pPr>
        <w:spacing w:before="40" w:after="40"/>
        <w:ind w:left="283"/>
      </w:pPr>
      <w:r>
        <w:rPr>
          <w:rFonts w:ascii="Calibri" w:hAnsi="Calibri"/>
          <w:b/>
          <w:color w:val="4A6B25"/>
          <w:sz w:val="20"/>
        </w:rPr>
        <w:t xml:space="preserve">2. </w:t>
      </w:r>
      <w:r>
        <w:rPr>
          <w:rFonts w:ascii="Calibri" w:hAnsi="Calibri"/>
          <w:b w:val="0"/>
          <w:color w:val="3A4A28"/>
          <w:sz w:val="20"/>
        </w:rPr>
        <w:t>Leadership and cultural dysfunction — Glassdoor 3.5/5 with consistent 'chaotic management' criticism, only 54% recommending Aegon as employer, creating execution risk for the transformation program [2]</w:t>
      </w:r>
    </w:p>
    <w:p>
      <w:pPr>
        <w:spacing w:before="40" w:after="40"/>
        <w:ind w:left="283"/>
      </w:pPr>
      <w:r>
        <w:rPr>
          <w:rFonts w:ascii="Calibri" w:hAnsi="Calibri"/>
          <w:b/>
          <w:color w:val="4A6B25"/>
          <w:sz w:val="20"/>
        </w:rPr>
        <w:t xml:space="preserve">3. </w:t>
      </w:r>
      <w:r>
        <w:rPr>
          <w:rFonts w:ascii="Calibri" w:hAnsi="Calibri"/>
          <w:b w:val="0"/>
          <w:color w:val="3A4A28"/>
          <w:sz w:val="20"/>
        </w:rPr>
        <w:t>AI disruption and insurtech competition — traditional insurance distribution models face structural pressure from AI-driven startups with superior digital experiences and lower cost structures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Insurance is a high-exposure industry for AI disruption. AI-driven underwriting, claims automation, and personalized pricing threaten to erode competitive advantages of incumbents that fail to adapt. Aegon's Transamerica unit has implemented AI governance and uses AI for compliance monitoring, but Glassdoor reviews suggest the 'chaotic' management culture may impede faster AI adoption [2]. Insurtechs like Lemonade and Hippo challenge traditional distribution models. AI Opportunity (1/1): Insurance generates massive datasets ideal for AI-driven risk assessment, fraud detection, and customer personalization — Aegon's scale (15,304 employees, multi-market presence) provides data advantages if properly leveraged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Aegon Revenue and Earnings Data — MacroTrends, StockAnalysis, SimplyWallSt, and Nasdaq,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(731 reviews), Aegon Leadership Team, and Egon Zehnder Insurance AI Report,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Aegon Sustainability Brochure July 2025, ESG Policies, and CSRHub ESG Ratings,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Wall Street analyst estimates — consensus EPS $0.97 for 2026 from 17 analysts,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AEG (Aegon),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