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AEP</w:t>
      </w:r>
      <w:r>
        <w:rPr>
          <w:rFonts w:ascii="Calibri" w:hAnsi="Calibri"/>
          <w:b/>
          <w:color w:val="1A2010"/>
          <w:sz w:val="40"/>
        </w:rPr>
        <w:t xml:space="preserve">  American Electric Power Company, Inc.</w:t>
      </w:r>
    </w:p>
    <w:p>
      <w:pPr>
        <w:spacing w:after="120"/>
      </w:pPr>
      <w:r>
        <w:rPr>
          <w:rFonts w:ascii="Calibri" w:hAnsi="Calibri"/>
          <w:b/>
          <w:color w:val="6E8450"/>
          <w:sz w:val="18"/>
        </w:rPr>
        <w:t>DIVIDEND SLEEVE · 2026-04-07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American Electric Power is one of the largest electric utilities in the United States, serving approximately 5.6 million customers across 11 states through regulated subsidiaries. AEP owns and operates approximately 40,000 miles of transmission lines — the largest in the US — and generates, transmits, and distributes electricity from a diversified generation fleet including coal, natural gas, nuclear, wind, and solar.</w:t>
      </w:r>
    </w:p>
    <w:p>
      <w:r>
        <w:rPr>
          <w:rFonts w:ascii="Calibri" w:hAnsi="Calibri"/>
          <w:b/>
          <w:color w:val="6E8450"/>
          <w:sz w:val="18"/>
        </w:rPr>
        <w:t>16,600 Employees · https://www.aep.com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AEP has executed a significant energy transition over the past five years, reducing coal from a majority of its generation mix to approximately 42% while expanding renewable capacity, but this follows the industry trend rather than leading it [1]. AI Deployment (1/2): AEP is deploying AI and grid modernization technologies for outage prediction, load forecasting, and grid management, but no specific AI products shipping to customers or quantified efficiency savings have been disclosed [2]. Market Share (2/2): AEP operates the largest electricity transmission network in the US (40,000 miles) and serves 5.6 million customers across 11 states — this is a regulated monopoly position that represents definitive market leadership in its territories [1]. Pipeline (1/2): The $72 billion five-year capital plan announced in Q4 2025 provides specific investment visibility, driving expected 10% annual rate base growth and supporting 7-9% EPS growth guidance through 2030 [1]. R&amp;D Intensity (0/1): Regulated utilities invest primarily through capital expenditure rather than R&amp;D; AEP's innovation spending is below tech industry averages by design.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AEP's stated mission focuses on 'powering a cleaner, brighter energy future for our customers and communities' — clear and relevant but standard for the utility sector and interchangeable with peers like Duke Energy or Southern Company [3]. Community Impact (2/2): AEP serves 5.6 million customers across 11 states as an essential service provider, has committed $60 million in environmental mitigation projects, and targets net-zero CO2 by 2050 with an 80% reduction by 2030 from 2000 levels — measurable community and environmental commitments [3]. Employee Retention (1/2): With 16,600 employees, AEP maintains stable employment typical of regulated utilities; CEO Bill Fehrman emphasizes 'cultivating high-performing teams' though specific retention metrics are not publicly disclosed [2]. Insider Buying (1/2): AEP increased its dividend to $3.80/share annually and has maintained 14+ consecutive years of dividend growth, signaling management alignment with long-term shareholder value, though specific insider purchase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AEP delivers a strong financial profile for a regulated utility. Revenue of $21.88B (up 10.9% YoY) and GAAP EPS of $6.70 (up 19.6%) reflect the benefit of rate base growth and constructive regulatory outcomes [1]. Forward P/E of 19.3x is reasonable for a utility guiding 7-9% EPS growth. ROE of 12.5% is solid for a capital-intensive regulated business, while profit margin of 16.4% reflects the regulated rate structure [4]. D/E of 154.2% is typical for utilities that finance infrastructure through debt. Dividend yield of 2.86% with a 56.2% payout ratio and 14+ consecutive years of growth, plus ~5.5% 5-year dividend CAGR approaching the 2x inflation threshold, demonstrates strong income quality. Liquidity floor easily cleared: 3.58M avg vol × $132.36 = $473M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AEP demonstrates solid infinite game characteristics through its essential-service regulated utility model, 120+ year operating history, and long-term $72 billion capital plan oriented toward the energy transition. The commitment to net-zero by 2050 and willingness to invest in renewable generation while managing the coal transition reflects cause-driven long-term thinking, though the regulated monopoly structure limits both the need for and evidence of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AEP's cause — powering communities and enabling the energy transition — is genuine and partially lived through its 80% CO2 reduction target by 2030 and net-zero by 2050 commitment, backed by $72 billion in capital deployment [1][3]. The 120+ year operating history demonstrates institutional permanence. However, the cause is standard for the utility sector rather than distinctively aspirational.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AEP's regulated utility workforce of 16,600 employees operates in a stable, safety-focused culture typical of the sector [2]. CEO Fehrman's emphasis on 'high-performing teams' and the company's long operating history suggest organizational stability. However, no evidence of exceptional trust-building practices or standout employee empowerment beyond industry norms.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AEP operates as a regulated monopoly in its service territories, which limits direct competition but the company benchmarks itself against utility peers like NextEra Energy and Duke Energy on operational efficiency, renewable deployment speed, and capital allocation discipline. Management commentary focuses on improving reliability and accelerating clean energy rather than competitive destruction.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AEP is executing a multi-decade energy transition from coal-heavy generation (previously 70%+) to a diversified fleet targeting net-zero, representing significant strategic evolution for a utility [3]. The $72 billion capital plan redirects investment toward renewables and grid modernization. However, this is an industry-wide shift driven by regulation and economics rather than a bold, cause-driven pivot. 1 point: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AEP's $72 billion five-year capital plan represents a massive commitment to long-term infrastructure at the expense of near-term free cash flow [1]. The company's commitment to 80% CO2 reduction by 2030 requires shutting down profitable coal plants before their economic end-of-life, demonstrating willingness to sacrifice near-term returns. However, these decisions are partly driven by regulatory requirements and economic incentives rather than purely principled leadership.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AEP is a premier regulated electric utility positioned at the intersection of two secular tailwinds: the energy transition and AI-driven data center demand. Full-year 2025 GAAP EPS of $6.70 (up 19.6% YoY) on revenue of $21.88B (up 10.9%) demonstrates the earnings power of a growing rate base, while 2026 operating EPS guidance of $6.15-$6.45 and a long-term 7-9% EPS growth rate provide multi-year visibility [1]. The $72 billion five-year capital plan driving 10% annual rate base growth is the largest in AEP's history, funded by constructive regulatory relationships across 11 states. The 2.86% dividend yield with 14+ consecutive years of growth and a manageable 56% payout ratio makes AEP a reliable income compounder [4]. AEP's 40,000-mile transmission network — the largest in the US — is irreplaceable infrastructure that benefits directly from AI data center electricity demand.</w:t>
      </w:r>
    </w:p>
    <w:p>
      <w:pPr>
        <w:spacing w:after="120"/>
      </w:pPr>
      <w:r>
        <w:rPr>
          <w:rFonts w:ascii="Calibri" w:hAnsi="Calibri"/>
          <w:b w:val="0"/>
          <w:color w:val="3A4A28"/>
          <w:sz w:val="20"/>
        </w:rPr>
        <w:t>The bear case centers on execution risk and capital market dependency. The $72 billion capital plan requires sustained access to debt and equity markets at reasonable rates — rising interest rates would compress AEP's regulated return spreads and increase financing costs on a balance sheet already carrying 154% D/E [4]. Regulatory risk is ever-present: AEP operates across 11 states with varying political and regulatory environments, and any adverse rate case outcomes could impair return on invested capital. The coal transition creates stranded asset risk — 42% of generation capacity remains coal-fired, and accelerated retirement timelines could trigger write-downs [3]. Earnings growth of 7-9% may not compensate for the forward P/E of 19.3x if interest rates remain elevated, as utility valuations are inversely correlated with treasury yields. Additionally, AEP's historical environmental controversies, including the $4.6B Clean Air Act settlement, demonstrate the ongoing regulatory and reputational costs of operating legacy fossil fuel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unprecedented electricity load growth across AEP's 11-state service territory, with new large load interconnection requests accelerating rate base growth beyond historical trends [1][2]</w:t>
      </w:r>
    </w:p>
    <w:p>
      <w:pPr>
        <w:spacing w:before="40" w:after="40"/>
        <w:ind w:left="283"/>
      </w:pPr>
      <w:r>
        <w:rPr>
          <w:rFonts w:ascii="Calibri" w:hAnsi="Calibri"/>
          <w:b/>
          <w:color w:val="4A6B25"/>
          <w:sz w:val="20"/>
        </w:rPr>
        <w:t xml:space="preserve">2. </w:t>
      </w:r>
      <w:r>
        <w:rPr>
          <w:rFonts w:ascii="Calibri" w:hAnsi="Calibri"/>
          <w:b w:val="0"/>
          <w:color w:val="3A4A28"/>
          <w:sz w:val="20"/>
        </w:rPr>
        <w:t>$72 billion five-year capital plan driving 10% annual rate base growth and supporting 7-9% long-term EPS growth guidance, the largest investment program in AEP's history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investments in renewable generation and grid modernization creating long-duration regulated assets with constructive return profiles and potential for premium rate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interest rates compressing utility valuations and increasing financing costs on $72B capital plan, with D/E already at 154% creating sensitivity to credit market conditions [4]</w:t>
      </w:r>
    </w:p>
    <w:p>
      <w:pPr>
        <w:spacing w:before="40" w:after="40"/>
        <w:ind w:left="283"/>
      </w:pPr>
      <w:r>
        <w:rPr>
          <w:rFonts w:ascii="Calibri" w:hAnsi="Calibri"/>
          <w:b/>
          <w:color w:val="4A6B25"/>
          <w:sz w:val="20"/>
        </w:rPr>
        <w:t xml:space="preserve">2. </w:t>
      </w:r>
      <w:r>
        <w:rPr>
          <w:rFonts w:ascii="Calibri" w:hAnsi="Calibri"/>
          <w:b w:val="0"/>
          <w:color w:val="3A4A28"/>
          <w:sz w:val="20"/>
        </w:rPr>
        <w:t>Adverse regulatory outcomes across any of AEP's 11-state jurisdictions could impair returns on the massive capital deployment program and reduce earned ROE below authorized levels</w:t>
      </w:r>
    </w:p>
    <w:p>
      <w:pPr>
        <w:spacing w:before="40" w:after="40"/>
        <w:ind w:left="283"/>
      </w:pPr>
      <w:r>
        <w:rPr>
          <w:rFonts w:ascii="Calibri" w:hAnsi="Calibri"/>
          <w:b/>
          <w:color w:val="4A6B25"/>
          <w:sz w:val="20"/>
        </w:rPr>
        <w:t xml:space="preserve">3. </w:t>
      </w:r>
      <w:r>
        <w:rPr>
          <w:rFonts w:ascii="Calibri" w:hAnsi="Calibri"/>
          <w:b w:val="0"/>
          <w:color w:val="3A4A28"/>
          <w:sz w:val="20"/>
        </w:rPr>
        <w:t>Coal stranded asset risk — 42% of generation capacity remains coal-fired, and accelerated regulatory or economic retirement timelines could trigger material write-downs and earnings charges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AEP is a direct beneficiary of the AI revolution — data centers require massive electricity, and AEP's 40,000-mile transmission network and regulated utility territories are essential physical infrastructure that AI structurally cannot displace [2]. AI data center demand is driving unprecedented load growth across AEP's service territories, reversing decades of flat electricity demand. The regulated utility model with guaranteed returns on capital deployed creates a structural moat that AI enhances rather than threatens. No analyst has identified AI as a substitution risk for regulated electric utilities. AI Opportunity (1/1): AEP is deploying AI internally for grid optimization, outage prediction, and load management, while the $72 billion capital plan is partly driven by AI-related data center electricity demand — AI is directly generating incremental revenue through new load connections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AEP Q4 and Full-Year 2025 Earnings Release — $6.70 GAAP EPS, $21.88B revenue, $72B capital plan, 7-9%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AEP Leadership and AI/Grid Innovation — CEO Bill Fehrman, grid modernization and AI-driven load growth, 2025-2026</w:t>
      </w:r>
    </w:p>
    <w:p>
      <w:pPr>
        <w:spacing w:before="20" w:after="20"/>
        <w:ind w:left="170"/>
      </w:pPr>
      <w:r>
        <w:rPr>
          <w:rFonts w:ascii="Calibri" w:hAnsi="Calibri"/>
          <w:b/>
          <w:color w:val="4A6B25"/>
          <w:sz w:val="15"/>
        </w:rPr>
        <w:t xml:space="preserve">3. </w:t>
      </w:r>
      <w:r>
        <w:rPr>
          <w:rFonts w:ascii="Calibri" w:hAnsi="Calibri"/>
          <w:b w:val="0"/>
          <w:color w:val="3A4A28"/>
          <w:sz w:val="17"/>
        </w:rPr>
        <w:t>AEP ESG and Environmental History — $4.6B Clean Air Act settlement, coal transition, net-zero 2050 commitment, sustainability reports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AEP,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