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AER</w:t>
      </w:r>
      <w:r>
        <w:rPr>
          <w:rFonts w:ascii="Calibri" w:hAnsi="Calibri"/>
          <w:b/>
          <w:color w:val="1A2010"/>
          <w:sz w:val="40"/>
        </w:rPr>
        <w:t xml:space="preserve">  AerCap Holdings N.V.</w:t>
      </w:r>
    </w:p>
    <w:p>
      <w:pPr>
        <w:spacing w:after="120"/>
      </w:pPr>
      <w:r>
        <w:rPr>
          <w:rFonts w:ascii="Calibri" w:hAnsi="Calibri"/>
          <w:b/>
          <w:color w:val="6E8450"/>
          <w:sz w:val="18"/>
        </w:rPr>
        <w:t>GROWTH SLEEVE · 2026-04-29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NYSE · Ireland</w:t>
      </w:r>
    </w:p>
    <w:p>
      <w:pPr>
        <w:spacing w:after="80"/>
      </w:pPr>
      <w:r>
        <w:rPr>
          <w:rFonts w:ascii="Calibri" w:hAnsi="Calibri"/>
          <w:b w:val="0"/>
          <w:color w:val="3A4A28"/>
          <w:sz w:val="20"/>
        </w:rPr>
        <w:t>AerCap Holdings N.V. is the world's largest aircraft leasing company, managing a portfolio of approximately 3,500 owned, managed, or on-order aircraft, engines, and helicopters. The company leases, finances, sells, and manages commercial flight equipment to airlines and operators worldwide, with operations spanning the United States, China, and international markets.</w:t>
      </w:r>
    </w:p>
    <w:p>
      <w:r>
        <w:rPr>
          <w:rFonts w:ascii="Calibri" w:hAnsi="Calibri"/>
          <w:b/>
          <w:color w:val="6E8450"/>
          <w:sz w:val="18"/>
        </w:rPr>
        <w:t>668 Employees · https://www.aercap.com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AerCap executed the landmark $30 billion acquisition of GE Capital Aviation Services (GECAS) in 2021, the largest deal in aviation leasing history, which fundamentally transformed the company from a major player into the undisputed global leader with ~3,500 aircraft [1][2]. This was a transformative pivot that redefined the company's scale and competitive position. AI Deployment (0/2): No evidence of AI-powered products or AI-driven operational efficiencies generating quantifiable revenue or cost savings. The CIO collaborates with the CEO on technology strategy, but specific AI deployments are not documented [2]. Market Share Leadership (2/2): AerCap is the world's largest aircraft lessor with approximately 3,500 aircraft, engines, and helicopters — roughly twice the size of its nearest competitor, with dominant share in a critical aviation infrastructure market [1]. Product Pipeline (1/2): The company has invested over $60 billion in new technology aircraft since 2015, with a target of ~85% new technology fleet composition and specific aircraft orders in the pipeline [3]. R&amp;D Intensity (0/1): As a financial services/leasing company, AerCap does not invest in traditional R&amp;D; innovation occurs through deal structuring, fleet management, and capital allocation.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AerCap's culture is built on 'Ambition, Excellence, and Respect,' with a stated commitment to creating an environment where 'people feel included and empowered to do their best work' [2]. This is clear and thoughtful but not transformative — it describes organizational values rather than a vision of a better future for aviation or global connectivity. Community &amp; Charitable Impact (1/2): AerCap publishes annual Corporate Responsibility Reports and was named a 2026 Industry ESG Leader by Morningstar Sustainalytics, with an 'AA' MSCI ESG rating and $60B invested in new technology aircraft reducing fleet emissions [3]. However, specific charitable programs or community investment dollar amounts were not found. Employee Retention (1/2): CEO Aengus Kelly has led AerCap since 2011, a 15-year tenure that spans the GECAS acquisition and multiple aviation cycles. With only 668 employees managing a $60B+ portfolio, the company operates with an extremely lean, high-caliber team that suggests strong retention among specialized aviation finance professionals [2]. Insider Buying (1/2): Kelly's 15-year tenure and consistent share repurchase programs ($4B+ returned to shareholders) demonstrate leadership alignment, though specific personal insider buying data was not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AerCap delivers exceptional infrastructure metrics with a Forward PEG of 0.8 (target &lt;=1.0), Forward P/E of 8.4 representing deep value, ROE of 21.1% well above the 15% target, and an outstanding 44.0% profit margin — more than double the 20% target [1][4]. Revenue grew 8.3% YoY and the 5-year CAGR of ~14.1% exceeds the 10% target, boosted by the GECAS acquisition. Record 2025 GAAP net income of $3.8B ($21.30/share) demonstrates powerful earnings generation [1]. The primary weakness is D/E of 238.4%, high even by financial services standards (score 0.27), driven by the capital-intensive aircraft leasing model where leverage is structural and asset-backed rather than speculative.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AerCap demonstrates mixed infinite game characteristics with strong marks for existential flexibility (the GECAS acquisition) and courage to lead (betting the company on a $30B deal during COVID uncertainty), offset by a primarily financial orientation that Sinek would view as finite. The company optimizes for shareholder returns (share repurchases, asset sales, EPS growth) rather than articulating a vision of a better future for aviation or global connectivity.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AerCap's stated values of 'Ambition, Excellence, and Respect' are organizational principles rather than a Just Cause in Sinek's framework [2]. The company exists to generate returns from aircraft assets — a legitimate business purpose but not a vision of a future state so appealing that people sacrifice to advance it. Strategic decisions (fleet optimization, GECAS acquisition, asset sales) are driven by financial return rather than a broader purpose. There is no articulated vision of transforming global connectivity or making aviation more accessible.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Aengus Kelly's 15-year tenure since 2011 and the remarkably lean 668-employee organization managing a $60B+ portfolio suggest a high-caliber, trusted team [2]. AerCap emphasizes creating an environment 'built on trust and integrity' where 'people feel included and empowered.' The small team size means each employee has significant autonomy and responsibility. However, no specific employee retention data, tenure statistics, or cultural assessment evidence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AerCap's competitive positioning emphasizes dominance — the company is the world's largest aircraft lessor with roughly twice the fleet of its nearest competitor [1]. The GECAS acquisition was framed as consolidating market leadership rather than learning from GE's strengths. No evidence of management acknowledging rivals like SMBC Aviation Capital, Air Lease Corporation, or BOC Aviation as worthy competitors whose capabilities inspire 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$30 billion GECAS acquisition in 2021 was one of the most transformative deals in aviation history, executed during the COVID-19 pandemic when aviation demand had collapsed [1]. This demonstrated extraordinary existential flexibility — AerCap bet the company on the conviction that aviation would recover and that scale would be the defining competitive advantage. The company has also invested $60B in new technology aircraft since 2015, proactively replacing older fleet assets to position for lower-emission aviation [3].</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Executing a $30 billion acquisition of GECAS during COVID-19 — when airline traffic had collapsed 90% and the aviation industry faced existential uncertainty — is one of the most courageous capital allocation decisions in recent corporate history [1]. CEO Aengus Kelly bet the company on a long-term conviction about aviation recovery while the entire industry was in crisis. The deal required massive financing commitments at a time of maximum uncertainty. Additionally, the company's conservative 2026 EPS guidance of $12-13 (below analyst expectations of $14.76) shows willingness to set honest expectations rather than overcommit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AerCap is the world's largest aircraft lessor trading at a deeply discounted 8.4x forward earnings and 0.8x PEG ratio despite generating record 2025 GAAP net income of $3.8B ($21.30/share) and 21.1% ROE [1][4]. The company manages approximately 3,500 aircraft representing critical aviation infrastructure that airlines cannot operate without, creating a durable competitive moat with structural immunity from AI disruption. The 44% profit margin reflects the capital-efficient leasing model, and $60B invested in new technology aircraft since 2015 positions AerCap for decades of fleet management revenue. CEO Aengus Kelly's 15-year tenure and the lean 668-person team managing this portfolio demonstrate exceptional operational efficiency. Named a 2026 Industry ESG Leader by Sustainalytics with 'AA' MSCI rating [3].</w:t>
      </w:r>
    </w:p>
    <w:p>
      <w:pPr>
        <w:spacing w:after="120"/>
      </w:pPr>
      <w:r>
        <w:rPr>
          <w:rFonts w:ascii="Calibri" w:hAnsi="Calibri"/>
          <w:b w:val="0"/>
          <w:color w:val="3A4A28"/>
          <w:sz w:val="20"/>
        </w:rPr>
        <w:t>The bear case is anchored in AerCap's 238% debt-to-equity ratio, which is structural for aircraft leasing but creates significant vulnerability to interest rate increases and credit market disruptions — the company guided $2.0B in interest expense for 2026 [1]. Conservative 2026 EPS guidance of $12-13 disappointed analysts expecting $14.76, signaling near-term headwinds from Spirit Airlines restructuring, maintenance timing, and lower other income [1]. The aviation industry remains cyclical and exposed to geopolitical disruption (war, pandemics, sanctions), fuel price spikes, and airline bankruptcies that could impair lease collections and aircraft values. The Russia-Ukraine conflict already required significant fleet write-downs. Additionally, the stock's 1.17% dividend yield and 3-year dividend history offer minimal income protection for long-term 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Spirit Airlines restructuring and normalization of maintenance timing could unlock the earnings bridge from 2025's $15.37 adjusted EPS to consensus estimates above $14 for 2026</w:t>
      </w:r>
    </w:p>
    <w:p>
      <w:pPr>
        <w:spacing w:before="40" w:after="40"/>
        <w:ind w:left="283"/>
      </w:pPr>
      <w:r>
        <w:rPr>
          <w:rFonts w:ascii="Calibri" w:hAnsi="Calibri"/>
          <w:b/>
          <w:color w:val="4A6B25"/>
          <w:sz w:val="20"/>
        </w:rPr>
        <w:t xml:space="preserve">2. </w:t>
      </w:r>
      <w:r>
        <w:rPr>
          <w:rFonts w:ascii="Calibri" w:hAnsi="Calibri"/>
          <w:b w:val="0"/>
          <w:color w:val="3A4A28"/>
          <w:sz w:val="20"/>
        </w:rPr>
        <w:t>Continued new technology fleet investment targeting ~85% composition, reducing operating costs for lessees and supporting premium lease rates on newer aircraft</w:t>
      </w:r>
    </w:p>
    <w:p>
      <w:pPr>
        <w:spacing w:before="40" w:after="40"/>
        <w:ind w:left="283"/>
      </w:pPr>
      <w:r>
        <w:rPr>
          <w:rFonts w:ascii="Calibri" w:hAnsi="Calibri"/>
          <w:b/>
          <w:color w:val="4A6B25"/>
          <w:sz w:val="20"/>
        </w:rPr>
        <w:t xml:space="preserve">3. </w:t>
      </w:r>
      <w:r>
        <w:rPr>
          <w:rFonts w:ascii="Calibri" w:hAnsi="Calibri"/>
          <w:b w:val="0"/>
          <w:color w:val="3A4A28"/>
          <w:sz w:val="20"/>
        </w:rPr>
        <w:t>Expansion of shareholder returns through the $4B+ share repurchase program and growing dividend (increased from $0.27 to $0.40 quarterly) as cash generation remains robust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Rising interest rates could compress net interest margins on the $238% leveraged balance sheet, with $2.0B guided interest expense representing a significant earnings sensitivity</w:t>
      </w:r>
    </w:p>
    <w:p>
      <w:pPr>
        <w:spacing w:before="40" w:after="40"/>
        <w:ind w:left="283"/>
      </w:pPr>
      <w:r>
        <w:rPr>
          <w:rFonts w:ascii="Calibri" w:hAnsi="Calibri"/>
          <w:b/>
          <w:color w:val="4A6B25"/>
          <w:sz w:val="20"/>
        </w:rPr>
        <w:t xml:space="preserve">2. </w:t>
      </w:r>
      <w:r>
        <w:rPr>
          <w:rFonts w:ascii="Calibri" w:hAnsi="Calibri"/>
          <w:b w:val="0"/>
          <w:color w:val="3A4A28"/>
          <w:sz w:val="20"/>
        </w:rPr>
        <w:t>Geopolitical disruption (conflict, sanctions, pandemic) could impair aircraft values and lease collections — the Russia-Ukraine precedent demonstrated material write-down risk</w:t>
      </w:r>
    </w:p>
    <w:p>
      <w:pPr>
        <w:spacing w:before="40" w:after="40"/>
        <w:ind w:left="283"/>
      </w:pPr>
      <w:r>
        <w:rPr>
          <w:rFonts w:ascii="Calibri" w:hAnsi="Calibri"/>
          <w:b/>
          <w:color w:val="4A6B25"/>
          <w:sz w:val="20"/>
        </w:rPr>
        <w:t xml:space="preserve">3. </w:t>
      </w:r>
      <w:r>
        <w:rPr>
          <w:rFonts w:ascii="Calibri" w:hAnsi="Calibri"/>
          <w:b w:val="0"/>
          <w:color w:val="3A4A28"/>
          <w:sz w:val="20"/>
        </w:rPr>
        <w:t>Airline industry cyclicality including potential recession-driven traffic decline or fuel price spikes could trigger lessee defaults and aircraft oversupply, pressuring lease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 IMMUNE): AerCap's business of owning, leasing, and managing physical aircraft is fundamentally immune to AI disruption. Commercial aviation requires physical aircraft that must be manufactured, maintained, and operated according to stringent regulatory standards — AI cannot substitute for physical planes carrying passengers and cargo [1]. AerCap sits at the nexus of aviation infrastructure: airlines need aircraft to operate, aircraft need financing to be acquired, and the global fleet requires continuous management. If anything, AI acceleration increases demand for air travel (business development, data center construction, supply chain complexity) and thereby aircraft [3]. The aviation leasing industry's $60B+ asset base, deep regulatory moats (FAA, EASA), and multi-decade aircraft useful lives create structural immunity from technological disruption. AI Opportunity (0/1): AerCap does not generate AI-related revenue; the company's value creation is entirely through aircraft asset management, leasing, and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AerCap Holdings Q4 2025 Earnings Release and FY2026 Guidance, aercap.com / Investing.com, February 2026</w:t>
      </w:r>
    </w:p>
    <w:p>
      <w:pPr>
        <w:spacing w:before="20" w:after="20"/>
        <w:ind w:left="170"/>
      </w:pPr>
      <w:r>
        <w:rPr>
          <w:rFonts w:ascii="Calibri" w:hAnsi="Calibri"/>
          <w:b/>
          <w:color w:val="4A6B25"/>
          <w:sz w:val="15"/>
        </w:rPr>
        <w:t xml:space="preserve">2. </w:t>
      </w:r>
      <w:r>
        <w:rPr>
          <w:rFonts w:ascii="Calibri" w:hAnsi="Calibri"/>
          <w:b w:val="0"/>
          <w:color w:val="3A4A28"/>
          <w:sz w:val="17"/>
        </w:rPr>
        <w:t>AerCap Leadership Team, CIO Interview, and Culture Framework, aercap.com / CIO Magazine,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AerCap 2025 Corporate Responsibility Report and Sustainalytics ESG Leadership, PR Newswire,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AER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