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AES</w:t>
      </w:r>
      <w:r>
        <w:rPr>
          <w:rFonts w:ascii="Calibri" w:hAnsi="Calibri"/>
          <w:b/>
          <w:color w:val="1A2010"/>
          <w:sz w:val="40"/>
        </w:rPr>
        <w:t xml:space="preserve">  The AES Corporation</w:t>
      </w:r>
    </w:p>
    <w:p>
      <w:pPr>
        <w:spacing w:after="120"/>
      </w:pPr>
      <w:r>
        <w:rPr>
          <w:rFonts w:ascii="Calibri" w:hAnsi="Calibri"/>
          <w:b/>
          <w:color w:val="6E8450"/>
          <w:sz w:val="18"/>
        </w:rPr>
        <w:t>DIVIDEND SLEEVE · 2026-03-24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Utilities · Utilities - Diversified · NYSE · United States</w:t>
      </w:r>
    </w:p>
    <w:p>
      <w:pPr>
        <w:spacing w:after="80"/>
      </w:pPr>
      <w:r>
        <w:rPr>
          <w:rFonts w:ascii="Calibri" w:hAnsi="Calibri"/>
          <w:b w:val="0"/>
          <w:color w:val="3A4A28"/>
          <w:sz w:val="20"/>
        </w:rPr>
        <w:t>The AES Corporation is a global energy company generating and distributing power in 14 countries, operating ~34 GW of generating capacity. AES is transforming its portfolio toward renewables, targeting 46% renewables EBITDA growth, and has positioned itself as a key data center power provider through long-term renewable energy agreements with hyperscale technology companies.</w:t>
      </w:r>
    </w:p>
    <w:p>
      <w:r>
        <w:rPr>
          <w:rFonts w:ascii="Calibri" w:hAnsi="Calibri"/>
          <w:b/>
          <w:color w:val="6E8450"/>
          <w:sz w:val="18"/>
        </w:rPr>
        <w:t>27,000 Employees · https://www.aes.com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AES has made a meaningful strategic pivot from a traditional diversified utility to a renewables-focused power company specifically targeting AI data center load growth — earning 2 points on Innovation Track Record for this portfolio transformation[1]. The company has signed multi-GW renewable energy agreements with Microsoft, Amazon, and Google to power data centers — demonstrating AI-adjacent deployment (1 point). AES is one of the largest independent power producers globally but not a category leader in renewables (NextEra is dominant) — scoring 1 point. Pipeline includes specific renewable project announcements with contracted capacity, earning 1 point. R&amp;D intensity is below tech sector norms — scoring 0.</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AES' mission of accelerating 'a safer, greener energy future' connects its business operations to a genuine societal purpose — scoring 2 on mission floor. The company's Fluence (energy storage JV) and sPower renewable development businesses embody this mission in commercial form. Community impact through electrification programs in emerging markets (Brazil, Chile, Colombia, Panama) is meaningful — scoring 1. Employee retention data at global scale is mixed; workforce transitions from fossil to renewable operations create disruption — scoring 0. No evidence of significant net insider buying — scoring 1 for neutral.</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AES reported $8.2B in FY2025 revenue (-33.3% YoY) — the steep decline reflects asset divestitures and portfolio restructuring rather than operational failure[1]. Net income was $910M (ROE 22.4%, above the 15% target). D/E ratio of 2.93 is high but declining. Profit margin was 11.1%. EBITDA inflection is occurring with 46% renewables EBITDA growth. Dividend yield ~4.5% paid consistently. The liquidity check: stock price ~$14 × avg daily volume ~7M = well above $1M floor. CFO guided Moody's FFO to net debt at 10-11% improving to 12% by end 2026.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AES is executing a genuine long-term energy transition strategy — divesting fossil fuel assets, building renewable generation, and positioning around AI data center power demand. The EBITDA inflection toward renewables represents a strategic bet that is beginning to pay off. However, the company's significant leverage and geographic complexity in emerging markets limits organizational infinite game expression.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AES's purpose of accelerating a 'safer, greener energy future' is specific and connected to global energy transition imperatives. The company has been divesting coal plants and investing in renewable capacity at a pace that involves real short-term financial sacrifice. The data center partnerships with hyperscalers for clean energy are mission-aligned business wins. Scores 2 points: genuine cause, partially validated by strategic consistency.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AES operates across 14 countries with a 27,000-person global workforce — organizational consistency at this scale requires genuine trust infrastructure. The Fluence energy storage JV (with Siemens) and sPower development platform represent collaborative multi-stakeholder management. Scores 1 point: adequate.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AES benchmarks against NextEra Energy, Brookfield Renewable, and Orsted, and frames its data center renewable strategy as a competitive differentiator. The focus on improving capital efficiency and renewable EBITDA margin reflects competitive learning. Scores 1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AES has fundamentally transformed from a global coal and gas-heavy generator to a renewables-focused enterprise — selling operating assets and redeploying capital in ways that represent genuine portfolio-level existential flexibility. Scores 1 point.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AES committed to $5.9B in capex in FY2025 against negative free cash flow — courageous long-term investment in renewable capacity. The self-funding through 2027 commitment without equity issuance demonstrates disciplined conviction. Scores 1 point.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AES offers a compelling combination of AI data center tailwind, renewable energy transition positioning, and a 4.5% dividend yield at a depressed valuation. The company's long-term renewable energy agreements with Microsoft, Amazon, and Google for AI data center power provide contracted cash flow visibility for decades[1]. The 46% renewables EBITDA growth rate indicates the strategic pivot is working, and CFO guidance for 50% renewables EBITDA by year-end signals continued acceleration. AES is self-funding through 2027 without equity issuance and has a clear path to 12% Moody's FFO/net debt by end of 2026.</w:t>
      </w:r>
    </w:p>
    <w:p>
      <w:pPr>
        <w:spacing w:after="120"/>
      </w:pPr>
      <w:r>
        <w:rPr>
          <w:rFonts w:ascii="Calibri" w:hAnsi="Calibri"/>
          <w:b w:val="0"/>
          <w:color w:val="3A4A28"/>
          <w:sz w:val="20"/>
        </w:rPr>
        <w:t>The bear case centers on balance sheet risk — AES carries $10.5B in long-term debt against $1.4B cash with a D/E ratio of 2.93[1]. The FY2025 revenue decline of -33.3% (asset divestitures) and EPS decline of -46.6% confuse investors and suppress the multiple. The transition to renewables requires massive ongoing capex ($5.9B in FY2025) that generates negative free cash flow near-term. Emerging market operations in Brazil, Chile, and Colombia expose the company to currency, political, and regulatory risks that can impair reported earnings. The current ratio below 1.0 indicates short-term liquidity constraints.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data center renewable energy agreements at scale — new long-term contracts with Microsoft, Amazon, or Google for 1+ GW increments would be immediately value-accretive given AES's current contracted development pipeline</w:t>
      </w:r>
    </w:p>
    <w:p>
      <w:pPr>
        <w:spacing w:before="40" w:after="40"/>
        <w:ind w:left="283"/>
      </w:pPr>
      <w:r>
        <w:rPr>
          <w:rFonts w:ascii="Calibri" w:hAnsi="Calibri"/>
          <w:b/>
          <w:color w:val="4A6B25"/>
          <w:sz w:val="20"/>
        </w:rPr>
        <w:t xml:space="preserve">2. </w:t>
      </w:r>
      <w:r>
        <w:rPr>
          <w:rFonts w:ascii="Calibri" w:hAnsi="Calibri"/>
          <w:b w:val="0"/>
          <w:color w:val="3A4A28"/>
          <w:sz w:val="20"/>
        </w:rPr>
        <w:t>EBITDA inflection completing the renewables transition — management targeted ~50% renewables EBITDA by year-end 2025, and achieving this milestone demonstrates the strategic pivot success to a skeptical market</w:t>
      </w:r>
    </w:p>
    <w:p>
      <w:pPr>
        <w:spacing w:before="40" w:after="40"/>
        <w:ind w:left="283"/>
      </w:pPr>
      <w:r>
        <w:rPr>
          <w:rFonts w:ascii="Calibri" w:hAnsi="Calibri"/>
          <w:b/>
          <w:color w:val="4A6B25"/>
          <w:sz w:val="20"/>
        </w:rPr>
        <w:t xml:space="preserve">3. </w:t>
      </w:r>
      <w:r>
        <w:rPr>
          <w:rFonts w:ascii="Calibri" w:hAnsi="Calibri"/>
          <w:b w:val="0"/>
          <w:color w:val="3A4A28"/>
          <w:sz w:val="20"/>
        </w:rPr>
        <w:t>Federal Reserve interest rate cuts reducing refinancing costs on $10.5B in long-term debt, improving free cash flow and enabling the credit upgrade trajectory to continue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Renewable project development delays — utility-scale solar and wind projects face permitting, interconnection queue, and supply chain challenges that can delay contracted revenue recognition by 12-24 months</w:t>
      </w:r>
    </w:p>
    <w:p>
      <w:pPr>
        <w:spacing w:before="40" w:after="40"/>
        <w:ind w:left="283"/>
      </w:pPr>
      <w:r>
        <w:rPr>
          <w:rFonts w:ascii="Calibri" w:hAnsi="Calibri"/>
          <w:b/>
          <w:color w:val="4A6B25"/>
          <w:sz w:val="20"/>
        </w:rPr>
        <w:t xml:space="preserve">2. </w:t>
      </w:r>
      <w:r>
        <w:rPr>
          <w:rFonts w:ascii="Calibri" w:hAnsi="Calibri"/>
          <w:b w:val="0"/>
          <w:color w:val="3A4A28"/>
          <w:sz w:val="20"/>
        </w:rPr>
        <w:t>Emerging market currency and political risk — AES's significant operations in Brazil (BRL/USD), Chile (CLP), and Colombia (COP) create earnings volatility and potential impairment charges on any economic or political disruption</w:t>
      </w:r>
    </w:p>
    <w:p>
      <w:pPr>
        <w:spacing w:before="40" w:after="40"/>
        <w:ind w:left="283"/>
      </w:pPr>
      <w:r>
        <w:rPr>
          <w:rFonts w:ascii="Calibri" w:hAnsi="Calibri"/>
          <w:b/>
          <w:color w:val="4A6B25"/>
          <w:sz w:val="20"/>
        </w:rPr>
        <w:t xml:space="preserve">3. </w:t>
      </w:r>
      <w:r>
        <w:rPr>
          <w:rFonts w:ascii="Calibri" w:hAnsi="Calibri"/>
          <w:b w:val="0"/>
          <w:color w:val="3A4A28"/>
          <w:sz w:val="20"/>
        </w:rPr>
        <w:t>Leverage refinancing risk — $10.5B in long-term debt at 2.93x D/E requires continued access to capital markets on favorable terms; any credit quality deterioration or market stress could increase financing costs materially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AES generates and distributes electricity — a physical infrastructure business that AI cannot replace[1]. More importantly, AES is a direct beneficiary of AI data center power demand: the hyperscale computing buildout requires massive amounts of clean energy, and AES has signed long-term renewable energy agreements with Microsoft, Amazon, and Google specifically for AI data center load. AI is a demand catalyst for AES's core business, not a threat. Physical power generation, transmission infrastructure, and regulatory utility operations are structurally immune to AI substitution. Scores 8 on AI Risk Protection and 0 on AI Opportunity (no AI product revenue, though AES benefits indirectly from AI demand).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AES Corporation, 'Q3 2025 Results', prnewswire.com, November 2025</w:t>
      </w:r>
    </w:p>
    <w:p>
      <w:pPr>
        <w:spacing w:before="20" w:after="20"/>
        <w:ind w:left="170"/>
      </w:pPr>
      <w:r>
        <w:rPr>
          <w:rFonts w:ascii="Calibri" w:hAnsi="Calibri"/>
          <w:b/>
          <w:color w:val="4A6B25"/>
          <w:sz w:val="15"/>
        </w:rPr>
        <w:t xml:space="preserve">2. </w:t>
      </w:r>
      <w:r>
        <w:rPr>
          <w:rFonts w:ascii="Calibri" w:hAnsi="Calibri"/>
          <w:b w:val="0"/>
          <w:color w:val="3A4A28"/>
          <w:sz w:val="17"/>
        </w:rPr>
        <w:t>StockTitan, 'AES Financials: Income Statement, Balance Sheet &amp; Cash Flow', March 2026</w:t>
      </w:r>
    </w:p>
    <w:p>
      <w:pPr>
        <w:spacing w:before="20" w:after="20"/>
        <w:ind w:left="170"/>
      </w:pPr>
      <w:r>
        <w:rPr>
          <w:rFonts w:ascii="Calibri" w:hAnsi="Calibri"/>
          <w:b/>
          <w:color w:val="4A6B25"/>
          <w:sz w:val="15"/>
        </w:rPr>
        <w:t xml:space="preserve">3. </w:t>
      </w:r>
      <w:r>
        <w:rPr>
          <w:rFonts w:ascii="Calibri" w:hAnsi="Calibri"/>
          <w:b w:val="0"/>
          <w:color w:val="3A4A28"/>
          <w:sz w:val="17"/>
        </w:rPr>
        <w:t>Yahoo Finance, 'The AES Corporation (AES) Valuation Measures', March 2026</w:t>
      </w:r>
    </w:p>
    <w:p>
      <w:pPr>
        <w:spacing w:before="20" w:after="20"/>
        <w:ind w:left="170"/>
      </w:pPr>
      <w:r>
        <w:rPr>
          <w:rFonts w:ascii="Calibri" w:hAnsi="Calibri"/>
          <w:b/>
          <w:color w:val="4A6B25"/>
          <w:sz w:val="15"/>
        </w:rPr>
        <w:t xml:space="preserve">4. </w:t>
      </w:r>
      <w:r>
        <w:rPr>
          <w:rFonts w:ascii="Calibri" w:hAnsi="Calibri"/>
          <w:b w:val="0"/>
          <w:color w:val="3A4A28"/>
          <w:sz w:val="17"/>
        </w:rPr>
        <w:t>Motley Fool, 'The AES (AES) Q3 2025 Earnings Call Transcript', November 2025</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