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AGAE</w:t>
      </w:r>
      <w:r>
        <w:rPr>
          <w:rFonts w:ascii="Calibri" w:hAnsi="Calibri"/>
          <w:b/>
          <w:color w:val="1A2010"/>
          <w:sz w:val="40"/>
        </w:rPr>
        <w:t xml:space="preserve">  Allied Gaming &amp; Entertainment Inc.</w:t>
      </w:r>
    </w:p>
    <w:p>
      <w:pPr>
        <w:spacing w:after="120"/>
      </w:pPr>
      <w:r>
        <w:rPr>
          <w:rFonts w:ascii="Calibri" w:hAnsi="Calibri"/>
          <w:b/>
          <w:color w:val="6E8450"/>
          <w:sz w:val="18"/>
        </w:rPr>
        <w:t>GROWTH SLEEVE · 2026-04-01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Allied Gaming &amp; Entertainment is a global experiential entertainment company operating in esports tournament production, casual mobile gaming, and live events/concerts. The company operates a flagship gaming arena at the Luxor Hotel in Las Vegas and is pivoting toward blockchain-based Real World Asset (RWA) tokenization and cryptocurrency treasury management.</w:t>
      </w:r>
    </w:p>
    <w:p>
      <w:r>
        <w:rPr>
          <w:rFonts w:ascii="Calibri" w:hAnsi="Calibri"/>
          <w:b/>
          <w:color w:val="6E8450"/>
          <w:sz w:val="18"/>
        </w:rPr>
        <w:t>https://www.alliedgaming.gg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grew 18.6% in FY2024 to $9.08M but has since declined to a $7.94M trailing twelve-month run rate, indicating no sustained product innovation [1]. The Luxor arena and mobile gaming operations are largely unchanged from prior years. AI Deployment (0/2): No AI-powered products, no measurable AI-driven efficiencies, and no AI strategy disclosed beyond a board member's prior experience at an AI startup [2]. Market Share (0/2): AGAE is a marginal participant in the esports and gaming entertainment space with a $10.5M market cap, dwarfed by industry leaders like ESL/FACEIT, Riot Games, and major tournament operators [1]. Pipeline (0/2): The RWA tokenization roadmap and Bitcoin/Ethereum treasury investments are speculative pivots with no revenue visibility, timelines, or product specifications [2]. R&amp;D Intensity (0/1): No R&amp;D budget or technology investment disclosed; employee count is not even publicly reported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Company describes itself as providing gamers with 'unique experiences through renowned assets, products and services' — generic and interchangeable with any gaming entertainment firm [1]. Community Impact (0/2): No evidence of charitable programs, foundation activity, or community investment found [3]. Employee Retention (0/2): Employee count not disclosed, CEO transition in June 2025, ongoing proxy battles with dissident shareholders, and former CEO facing legal investigations create an unstable organizational environment [2][3]. Insider Buying (0/2): No evidence of insider buying; governance chaos including shareholder lawsuits against Knighted Group and disputes with Ourgame International Holdings suggests leadership distraction rather than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AGAE's financial profile reflects a deeply unprofitable micro-cap. Profit margin of -280% and ROE of -39.5% show the business is destroying capital [1][4]. Revenue of $7.94M TTM is declining (-14.6% YoY), and the company generated -$7.5M in free cash flow with -$210K operating cash flow [4]. D/E of 69.5% is the only metric near target, scoring well on leverage. Forward P/E and PEG are unavailable due to negative earnings. Total cash of $56M against $40M debt provides a temporary liquidity cushion, but the cash burn trajectory is unsustainable. Liquidity floor barely cleared: 4.2M avg volume x $0.28 = $1.17M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Allied Gaming &amp; Entertainment exhibits a definitively finite mindset. The company lacks an articulated Just Cause, has cycled through CEO transitions amid governance chaos, and is pivoting toward cryptocurrency and RWA tokenization — a trend-chasing move that Sinek would identify as playing to win this quarter rather than building to endure. Proxy battles, shareholder lawsuits, and former CEO investigations compound the picture of organizational instability.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The company's recent pivot from esports entertainment to blockchain/RWA tokenization and cryptocurrency treasury management suggests it exists to pursue whatever narrative drives stock price rather than advancing a durable vision [2]. The mission of providing 'unique experiences' to gamers is abandoned when the strategy shifts to crypto speculation.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characterized by CEO transition in June 2025, proxy battles with dissident shareholder Knighted Group, disputes with major shareholder Ourgame International Holdings, and former CEO Frank Ng facing legal investigations related to the Luxor arena construction period [2][3]. Employee count is not even publicly disclosed, suggesting minimal organizational infrastructure.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The company does not acknowledge rivals' strengths or frame competition as an opportunity for self-improvement [2]. Strategic pivots appear reactive to market trends rather than informed by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esports entertainment to blockchain/RWA tokenization and cryptocurrency treasury management represents strategic evolution [2]. However, this flexibility appears driven by desperation (declining revenue, $10.5M market cap) and trend-chasing rather than by a Just Cause. Sinek would distinguish between flexibility in service of a cause and flexibility as directionlessness.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The Bitcoin and Ethereum treasury purchases are small and speculative rather than bold [2]. Leadership changes have been reactive — CEO Yinghua Chen was moved to a subsidiary role amid shareholder pressure, not as part of a deliberate succession plan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Allied Gaming &amp; Entertainment operates a niche esports and gaming entertainment business with a flagship arena at the Luxor Hotel in Las Vegas and casual mobile gaming operations [1]. The company has $56M in cash against $40M in debt, providing temporary financial cushion, and gross margins of 48.4% on its limited revenue base suggest the core arena business has viable unit economics when operating at scale [4]. The RWA tokenization and cryptocurrency treasury strategy could unlock new revenue streams if blockchain adoption in gaming accelerates [2].</w:t>
      </w:r>
    </w:p>
    <w:p>
      <w:pPr>
        <w:spacing w:after="120"/>
      </w:pPr>
      <w:r>
        <w:rPr>
          <w:rFonts w:ascii="Calibri" w:hAnsi="Calibri"/>
          <w:b w:val="0"/>
          <w:color w:val="3A4A28"/>
          <w:sz w:val="20"/>
        </w:rPr>
        <w:t>The bear case overwhelms the bull case. AGAE has a $10.5M market cap, declining revenue (-14.6% YoY to $7.94M TTM), and a profit margin of -280% that shows the business is burning cash faster than it generates revenue [1][4]. Free cash flow is -$7.5M annually against total revenue of just $7.9M. Governance is chaotic: CEO transition in 2025, proxy battles with Knighted Group, disputes with shareholder Ourgame International, and former CEO Frank Ng under legal investigation [3]. The crypto/blockchain pivot lacks specifics and appears to be trend-chasing rather than a viable business strategy. The stock is a sub-$1 micro-cap with no analyst coverage, no earnings visibility, and existential going-concern risk if cash burn continues at the current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RWA tokenization strategy generating measurable blockchain-related revenue to diversify beyond declining esports and mobile gaming [2]</w:t>
      </w:r>
    </w:p>
    <w:p>
      <w:pPr>
        <w:spacing w:before="40" w:after="40"/>
        <w:ind w:left="283"/>
      </w:pPr>
      <w:r>
        <w:rPr>
          <w:rFonts w:ascii="Calibri" w:hAnsi="Calibri"/>
          <w:b/>
          <w:color w:val="4A6B25"/>
          <w:sz w:val="20"/>
        </w:rPr>
        <w:t xml:space="preserve">2. </w:t>
      </w:r>
      <w:r>
        <w:rPr>
          <w:rFonts w:ascii="Calibri" w:hAnsi="Calibri"/>
          <w:b w:val="0"/>
          <w:color w:val="3A4A28"/>
          <w:sz w:val="20"/>
        </w:rPr>
        <w:t>Luxor arena operational improvements driving increased event bookings and higher utilization rates above the breakeven threshold [1]</w:t>
      </w:r>
    </w:p>
    <w:p>
      <w:pPr>
        <w:spacing w:before="40" w:after="40"/>
        <w:ind w:left="283"/>
      </w:pPr>
      <w:r>
        <w:rPr>
          <w:rFonts w:ascii="Calibri" w:hAnsi="Calibri"/>
          <w:b/>
          <w:color w:val="4A6B25"/>
          <w:sz w:val="20"/>
        </w:rPr>
        <w:t xml:space="preserve">3. </w:t>
      </w:r>
      <w:r>
        <w:rPr>
          <w:rFonts w:ascii="Calibri" w:hAnsi="Calibri"/>
          <w:b w:val="0"/>
          <w:color w:val="3A4A28"/>
          <w:sz w:val="20"/>
        </w:rPr>
        <w:t>Resolution of governance disputes with Knighted Group and Ourgame International, allowing management to focus on business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$7.5M annual free cash burn against $56M cash balance gives approximately 7 years of runway at current rates, but accelerating losses (-$16.8M net loss in FY2024) could shorten this dramatically [1][4]</w:t>
      </w:r>
    </w:p>
    <w:p>
      <w:pPr>
        <w:spacing w:before="40" w:after="40"/>
        <w:ind w:left="283"/>
      </w:pPr>
      <w:r>
        <w:rPr>
          <w:rFonts w:ascii="Calibri" w:hAnsi="Calibri"/>
          <w:b/>
          <w:color w:val="4A6B25"/>
          <w:sz w:val="20"/>
        </w:rPr>
        <w:t xml:space="preserve">2. </w:t>
      </w:r>
      <w:r>
        <w:rPr>
          <w:rFonts w:ascii="Calibri" w:hAnsi="Calibri"/>
          <w:b w:val="0"/>
          <w:color w:val="3A4A28"/>
          <w:sz w:val="20"/>
        </w:rPr>
        <w:t>Governance dysfunction — CEO transitions, proxy battles, shareholder lawsuits, and former CEO legal investigations create persistent distraction and institutional instability [2][3]</w:t>
      </w:r>
    </w:p>
    <w:p>
      <w:pPr>
        <w:spacing w:before="40" w:after="40"/>
        <w:ind w:left="283"/>
      </w:pPr>
      <w:r>
        <w:rPr>
          <w:rFonts w:ascii="Calibri" w:hAnsi="Calibri"/>
          <w:b/>
          <w:color w:val="4A6B25"/>
          <w:sz w:val="20"/>
        </w:rPr>
        <w:t xml:space="preserve">3. </w:t>
      </w:r>
      <w:r>
        <w:rPr>
          <w:rFonts w:ascii="Calibri" w:hAnsi="Calibri"/>
          <w:b w:val="0"/>
          <w:color w:val="3A4A28"/>
          <w:sz w:val="20"/>
        </w:rPr>
        <w:t>Strategic incoherence — the pivot from esports entertainment to cryptocurrency treasury and RWA tokenization lacks specificity and risks alienating the gaming customer base without attracting crypto-native users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AGAE's esports tournament production and live event operations have some physical-world protection — the Luxor arena experience cannot be fully replicated by AI [1]. However, the broader gaming entertainment and content production space faces meaningful AI disruption as AI-generated content, virtual events, and automated tournament management tools proliferate. Casual mobile gaming, one of AGAE's segments, is particularly exposed as AI makes game development cheaper and the market more commoditized [2]. The company's pivot to blockchain/RWA tokenization does not provide AI protection. AI Opportunity (0/1): No AI products or AI-related revenue. The company has no disclosed AI strategy or AI deployments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Allied Gaming &amp; Entertainment Financial Data — FY2024 revenue $9.08M, TTM revenue $7.94M, CNBC/Yahoo Finance/StockAnalysis, 2025-2026</w:t>
      </w:r>
    </w:p>
    <w:p>
      <w:pPr>
        <w:spacing w:before="20" w:after="20"/>
        <w:ind w:left="170"/>
      </w:pPr>
      <w:r>
        <w:rPr>
          <w:rFonts w:ascii="Calibri" w:hAnsi="Calibri"/>
          <w:b/>
          <w:color w:val="4A6B25"/>
          <w:sz w:val="15"/>
        </w:rPr>
        <w:t xml:space="preserve">2. </w:t>
      </w:r>
      <w:r>
        <w:rPr>
          <w:rFonts w:ascii="Calibri" w:hAnsi="Calibri"/>
          <w:b w:val="0"/>
          <w:color w:val="3A4A28"/>
          <w:sz w:val="17"/>
        </w:rPr>
        <w:t>Allied Gaming &amp; Entertainment CEO Transition and Strategic Announcements — James Li appointed CEO, RWA tokenization roadmap, BusinessWire, June 2025</w:t>
      </w:r>
    </w:p>
    <w:p>
      <w:pPr>
        <w:spacing w:before="20" w:after="20"/>
        <w:ind w:left="170"/>
      </w:pPr>
      <w:r>
        <w:rPr>
          <w:rFonts w:ascii="Calibri" w:hAnsi="Calibri"/>
          <w:b/>
          <w:color w:val="4A6B25"/>
          <w:sz w:val="15"/>
        </w:rPr>
        <w:t xml:space="preserve">3. </w:t>
      </w:r>
      <w:r>
        <w:rPr>
          <w:rFonts w:ascii="Calibri" w:hAnsi="Calibri"/>
          <w:b w:val="0"/>
          <w:color w:val="3A4A28"/>
          <w:sz w:val="17"/>
        </w:rPr>
        <w:t>Allied Gaming &amp; Entertainment Governance Controversies — Knighted Group litigation, Ourgame International disputes, Frank Ng investigations,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AGAE (Allied Gaming &amp; Entertainment),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