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AGIG</w:t>
      </w:r>
      <w:r>
        <w:rPr>
          <w:rFonts w:ascii="Calibri" w:hAnsi="Calibri"/>
          <w:b/>
          <w:color w:val="1A2010"/>
          <w:sz w:val="40"/>
        </w:rPr>
        <w:t xml:space="preserve">  Abundia Global Impact Group Inc.</w:t>
      </w:r>
    </w:p>
    <w:p>
      <w:pPr>
        <w:spacing w:after="120"/>
      </w:pPr>
      <w:r>
        <w:rPr>
          <w:rFonts w:ascii="Calibri" w:hAnsi="Calibri"/>
          <w:b/>
          <w:color w:val="6E8450"/>
          <w:sz w:val="18"/>
        </w:rPr>
        <w:t>GROWTH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Abundia Global Impact Group is a development-stage company focused on converting waste plastics and certified biomass into drop-in renewable fuels and low-carbon chemical feedstocks through vertically integrated waste-to-value technology. Formerly Houston American Energy Corp., the company rebranded in December 2025.</w:t>
      </w:r>
    </w:p>
    <w:p>
      <w:r>
        <w:rPr>
          <w:rFonts w:ascii="Calibri" w:hAnsi="Calibri"/>
          <w:b/>
          <w:color w:val="6E8450"/>
          <w:sz w:val="18"/>
        </w:rPr>
        <w:t>25 Employees · https://abundiaimpact.com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Abundia's waste-to-fuel and low-carbon chemical technology platform leverages Alterra Energy's pyrolysis technology for plastics recycling [1]. The concept of converting waste plastics and biomass into renewable fuels is not novel — competitors like Plastic Energy and Brightmark have operating facilities. The company has yet to demonstrate commercial-scale production; Phase 1 Renewable Energy Complex targeted for completion Q2 2026, with Phase 2 waste plastics plant not expected until 2029 [2]. No proprietary IP differentiation is evident.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'transition the world into a decarbonized future' through waste-to-value solutions provides environmental purpose [3]. Leadership team led by CEO Edward Gillespie brings two decades of executive experience across energy and capital markets [3]. However, the December 2025 rebrand from Houston American Energy (a struggling oil and gas company) raises questions about authenticity of the sustainability pivot versus financial engineering. No Glassdoor reviews available for the new entity.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Essentially pre-revenue with only $605K TTM revenue, negative ROE of -348%, and $11M debt against $1.5M cash as of Q3 2025 [4]. The $52M market cap with avg daily volume of 892,898 shares × $1.19 = $1.06M barely passes the liquidity floor. A $20M dilutive stock offering in February 2026 signals capital desperation [4]. Forward P/E of -7.0 reflects deep unprofitability with no path to breakeven until 2029 at earliest.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Abundia's environmental mission suggests infinite game thinking, but the company's financial fragility, recent rebrand from a failing oil company, and reliance on dilutive capital raises indicate finite survival pressures dominate strategic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waste-to-value mission of eliminating plastic pollution and producing renewable fuels represents a compelling environmental cause [3]. However, the abrupt pivot from Houston American Energy (oil and gas) to sustainability-focused Abundia in December 2025 raises questions about whether the just cause is genuine or opportunistic rebranding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approximately 25 employees and no Glassdoor reviews available, team culture is opaque. The company has undergone complete strategic transformation in under 6 months, which typically creates organizational uncertainty. Leadership claims 'proven records at Fortune 100 companies' but the micro-cap reality suggests limited resources for team development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Abundia operates in a space with established competitors like Plastic Energy, Brightmark, and major energy companies pivoting to waste-to-value. The company's investor materials acknowledge the competitive landscape but do not demonstrate sophisticated rival awareness or differentiated positioning beyond generic sustainability claims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December 2025 rebrand from Houston American Energy demonstrates willingness to pivot entirely, though this may reflect desperation rather than strategic flexibility [3]. The planned RPD Acquisition in Q1 2026 to augment R&amp;D capabilities shows awareness of gaps, but execution capacity with $1.5M cash is questionable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pursued a bold strategic pivot to clean energy, but the execution timeline (no revenue until 2029) demands years of dilutive financing that may not materialize [2][4]. The $20M stock offering at depressed prices suggests reactive rather than proactive capital management. Courage without adequate resources risks becoming recklessness.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Abundia Global Impact Group is a development-stage company that rebranded from Houston American Energy in December 2025 to pursue waste-to-fuel and renewable chemical production. The company has minimal revenue ($605K TTM), no operating facilities, and faces a multi-year path to commercialization with Phase 2 production not expected until 2029.</w:t>
      </w:r>
    </w:p>
    <w:p>
      <w:pPr>
        <w:spacing w:after="120"/>
      </w:pPr>
      <w:r>
        <w:rPr>
          <w:rFonts w:ascii="Calibri" w:hAnsi="Calibri"/>
          <w:b w:val="0"/>
          <w:color w:val="3A4A28"/>
          <w:sz w:val="20"/>
        </w:rPr>
        <w:t>The $52M market cap reflects extreme speculative risk — the company must execute complex chemical engineering projects while raising substantial additional capital through dilutive offerings. With $11M in debt, $1.5M cash, and quarterly operating expenses of $3.8M, financial viability depends entirely on continued access to equity markets. The technology is unproven at commercial scale and the management team's track record (formerly running a struggling oil company) provides limited confidence in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Renewable Energy Complex completion targeted for Q2 2026 could validate operational capability</w:t>
      </w:r>
    </w:p>
    <w:p>
      <w:pPr>
        <w:spacing w:before="40" w:after="40"/>
        <w:ind w:left="283"/>
      </w:pPr>
      <w:r>
        <w:rPr>
          <w:rFonts w:ascii="Calibri" w:hAnsi="Calibri"/>
          <w:b/>
          <w:color w:val="4A6B25"/>
          <w:sz w:val="20"/>
        </w:rPr>
        <w:t xml:space="preserve">2. </w:t>
      </w:r>
      <w:r>
        <w:rPr>
          <w:rFonts w:ascii="Calibri" w:hAnsi="Calibri"/>
          <w:b w:val="0"/>
          <w:color w:val="3A4A28"/>
          <w:sz w:val="20"/>
        </w:rPr>
        <w:t>RPD Acquisition in 2026 may accelerate commercial readiness and provide R&amp;D differentiation</w:t>
      </w:r>
    </w:p>
    <w:p>
      <w:pPr>
        <w:spacing w:before="40" w:after="40"/>
        <w:ind w:left="283"/>
      </w:pPr>
      <w:r>
        <w:rPr>
          <w:rFonts w:ascii="Calibri" w:hAnsi="Calibri"/>
          <w:b/>
          <w:color w:val="4A6B25"/>
          <w:sz w:val="20"/>
        </w:rPr>
        <w:t xml:space="preserve">3. </w:t>
      </w:r>
      <w:r>
        <w:rPr>
          <w:rFonts w:ascii="Calibri" w:hAnsi="Calibri"/>
          <w:b w:val="0"/>
          <w:color w:val="3A4A28"/>
          <w:sz w:val="20"/>
        </w:rPr>
        <w:t>Successful commissioning of Alterra Energy's pyrolysis technology at commercial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with $3.8M quarterly burn rate and only $1.5M cash — requires continuous dilutive financing to survive</w:t>
      </w:r>
    </w:p>
    <w:p>
      <w:pPr>
        <w:spacing w:before="40" w:after="40"/>
        <w:ind w:left="283"/>
      </w:pPr>
      <w:r>
        <w:rPr>
          <w:rFonts w:ascii="Calibri" w:hAnsi="Calibri"/>
          <w:b/>
          <w:color w:val="4A6B25"/>
          <w:sz w:val="20"/>
        </w:rPr>
        <w:t xml:space="preserve">2. </w:t>
      </w:r>
      <w:r>
        <w:rPr>
          <w:rFonts w:ascii="Calibri" w:hAnsi="Calibri"/>
          <w:b w:val="0"/>
          <w:color w:val="3A4A28"/>
          <w:sz w:val="20"/>
        </w:rPr>
        <w:t>Commercial revenue not expected until 2029, creating 3+ years of execution risk and capital market dependency</w:t>
      </w:r>
    </w:p>
    <w:p>
      <w:pPr>
        <w:spacing w:before="40" w:after="40"/>
        <w:ind w:left="283"/>
      </w:pPr>
      <w:r>
        <w:rPr>
          <w:rFonts w:ascii="Calibri" w:hAnsi="Calibri"/>
          <w:b/>
          <w:color w:val="4A6B25"/>
          <w:sz w:val="20"/>
        </w:rPr>
        <w:t xml:space="preserve">3. </w:t>
      </w:r>
      <w:r>
        <w:rPr>
          <w:rFonts w:ascii="Calibri" w:hAnsi="Calibri"/>
          <w:b w:val="0"/>
          <w:color w:val="3A4A28"/>
          <w:sz w:val="20"/>
        </w:rPr>
        <w:t>Recent rebrand from failed oil company raises questions about management credibility and strategic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Waste-to-fuel and chemical processing is a physical infrastructure business with limited AI disruption exposure — the core value is in chemical engineering and facility operations rather than software or data [1]. AI could modestly enhance process optimization and feedstock sorting but is unlikely to displace the need for physical plant infrastructure. However, the company's lack of operational assets means it cannot currently benefit from AI-driven efficiency gains either.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Abundia Global Impact Group Advances Plastics Recycling Facility with Alterra Energy's Technology, PR Newswire, 2026</w:t>
      </w:r>
    </w:p>
    <w:p>
      <w:pPr>
        <w:spacing w:before="20" w:after="20"/>
        <w:ind w:left="170"/>
      </w:pPr>
      <w:r>
        <w:rPr>
          <w:rFonts w:ascii="Calibri" w:hAnsi="Calibri"/>
          <w:b/>
          <w:color w:val="4A6B25"/>
          <w:sz w:val="15"/>
        </w:rPr>
        <w:t xml:space="preserve">2. </w:t>
      </w:r>
      <w:r>
        <w:rPr>
          <w:rFonts w:ascii="Calibri" w:hAnsi="Calibri"/>
          <w:b w:val="0"/>
          <w:color w:val="3A4A28"/>
          <w:sz w:val="17"/>
        </w:rPr>
        <w:t>Abundia Global Impact Group Shareholder Letter — 2025 Accomplishments and 2026 Plan, GlobeNewsWire, January 2026</w:t>
      </w:r>
    </w:p>
    <w:p>
      <w:pPr>
        <w:spacing w:before="20" w:after="20"/>
        <w:ind w:left="170"/>
      </w:pPr>
      <w:r>
        <w:rPr>
          <w:rFonts w:ascii="Calibri" w:hAnsi="Calibri"/>
          <w:b/>
          <w:color w:val="4A6B25"/>
          <w:sz w:val="15"/>
        </w:rPr>
        <w:t xml:space="preserve">3. </w:t>
      </w:r>
      <w:r>
        <w:rPr>
          <w:rFonts w:ascii="Calibri" w:hAnsi="Calibri"/>
          <w:b w:val="0"/>
          <w:color w:val="3A4A28"/>
          <w:sz w:val="17"/>
        </w:rPr>
        <w:t>Abundia Global Impact Group Corporate Website — Leadership and Company Overview,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AGIG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