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AGIO</w:t>
      </w:r>
      <w:r>
        <w:rPr>
          <w:rFonts w:ascii="Calibri" w:hAnsi="Calibri"/>
          <w:b/>
          <w:color w:val="1A2010"/>
          <w:sz w:val="40"/>
        </w:rPr>
        <w:t xml:space="preserve">  Agios Pharmaceuticals, Inc.</w:t>
      </w:r>
    </w:p>
    <w:p>
      <w:pPr>
        <w:spacing w:after="120"/>
      </w:pPr>
      <w:r>
        <w:rPr>
          <w:rFonts w:ascii="Calibri" w:hAnsi="Calibri"/>
          <w:b/>
          <w:color w:val="6E8450"/>
          <w:sz w:val="18"/>
        </w:rPr>
        <w:t>GROWTH SLEEVE · 2026-05-05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Agios Pharmaceuticals is a biopharmaceutical company focused on genetically defined diseases, particularly rare hematologic conditions. Its commercial products include PYRUKYND (mitapivat) for pyruvate kinase deficiency and AQVESME (mitapivat) for thalassemia, both of which activate pyruvate kinase enzymes to treat hemolytic anemias.</w:t>
      </w:r>
    </w:p>
    <w:p>
      <w:r>
        <w:rPr>
          <w:rFonts w:ascii="Calibri" w:hAnsi="Calibri"/>
          <w:b/>
          <w:color w:val="6E8450"/>
          <w:sz w:val="18"/>
        </w:rPr>
        <w:t>539 Employees · https://www.agios.com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Agios successfully launched PYRUKYND for PK deficiency and expanded with AQVESME for thalassemia in late January 2026, driving 138% revenue growth in Q1 2026 to $20.7M [1]. The company also executed a strategic pivot from oncology to rare disease, selling its oncology portfolio to Servier in 2021. AI Deployment (0/2): No evidence of AI-powered products or AI-driven efficiencies. Market Share (2/2): Agios holds a dominant position in PK-activated therapies for hemolytic anemias — PYRUKYND and AQVESME are first-in-class drugs with no direct competitors in their specific mechanism [1]. Pipeline (1/2): sNDA filing planned for Q2 2026 for additional mitapivat indications, plus earlier-stage programs in genetically defined diseases provide visibility [1]. R&amp;D Intensity (1/1): R&amp;D spending of $81M in Q1 2026 against $20.7M revenue demonstrates above-industry R&amp;D intensity relative to current commercial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Agios's mission to 'discover and develop medicines for genetically defined diseases' is specific, reflects genuine intentionality in a focused therapeutic area, and has been validated by successful drug approvals (PYRUKYND, AQVESME) and the principled exit from oncology to focus exclusively on rare disease [1]. This is a thoughtful, differentiated mission. Community Impact (1/2): Agios serves rare disease patients with limited treatment options, published ESG reports aligned with UN Sustainable Development Goals and SASB standards, and employs 539 people [3]. The company's drugs improve quality of life for patients with previously untreatable hemolytic anemias. Employee Retention (1/2): Glassdoor rating of 4.0/5 with inclusive culture praised — employees describe leadership as 'approachable and transparent' and culture as 'supportive and engaging' [2]. Some concerns about shifting priorities and reactive work environment. Insider Buying (1/2): CEO Brian Goff was appointed in 2022 with equity compensation reflecting commitment; no specific insider purchase data was found beyond employment.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Agios shows explosive revenue growth from commercial launches but remains deeply unprofitable as it invests in pipeline expansion. Revenue growth of 138% YoY (Q1 2026) and 3-year CAGR of 56% far exceed the 10% target, scoring 1.0 on both metrics [1]. D/E of 3.2% is essentially debt-free, scoring 1.0. However, ROE of -33% scores 0, profit margin of 0% scores 0, and forward P/E is negative (excluded due to expected losses). The $1.0B cash position provides multi-year runway [1]. With only D/E, ROE, RevYoY, Rev5yr, and Margin scorable, the weighted sum is 4.0/7.0 = 5.7 -&gt; rounds to 6. Liquidity passes comfortably at $29.6M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Agios demonstrated transformative existential flexibility by selling its oncology business to Servier in 2021 and refocusing entirely on rare hematologic diseases — a bold pivot that sacrificed near-term revenue for long-term focus. The company's patient-centric mission in rare disease and strong employee culture support infinite game thinking, though the company is still early in proving this strategy commercially.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Agios's purpose to develop medicines for genetically defined diseases is genuine, distinctive, and validated by the company's willingness to sell a profitable oncology portfolio to focus exclusively on rare disease [1]. The cause connects scientific discovery to helping underserved patients with limited options. However, the company hasn't yet proven this cause through decades of consistent execution — it's a 10-year-old pivot still being validated commercially.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indicates above-average employee satisfaction. Reviews describe 'inclusive, supportive' culture with 'approachable' leadership that 'values transparency' [2]. However, some reviews cite 'reactive' work environment with 'frequent shifts in priorities' and unclear communication from senior leadership, suggesting room for improvement in organizational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Agios management acknowledging competitors' strengths or using competitive dynamics to improve. The company's first-in-class position in PK activation means few direct rivals exist, which may reduce competitive urgency rather than inspire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Agios sold its entire oncology business to Servier in 2021 for $2B to focus exclusively on rare hematologic diseases — this is a textbook example of transformative flexibility [1]. The company abandoned a profitable commercial business line in service of a more focused purpose, fundamentally reinventing itself from a diversified biotech to a pure-play rare disease company. This pivot is now being validated by the thalassemia launch driving 138% revenue growth.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the oncology portfolio to focus on rare disease required courage — it meant giving up established revenue for an uncertain rare disease pipeline. The willingness to invest $81M/quarter in R&amp;D against only $20.7M revenue shows prioritizing long-term pipeline value over short-term profitability [1]. The Q2 2026 sNDA filing demonstrates continued forward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Agios is at a commercial inflection point with Q1 2026 revenue of $20.7M (up 138% YoY) driven by the AQVESME thalassemia launch in January 2026, adding to existing PYRUKYND PK deficiency sales [1]. The company holds first-in-class positions in PK activation with no direct competitors, PKD revenue guidance of $45-50M for 2026, and an sNDA filing planned for Q2 2026 to expand the label further [1]. With $1.0B cash providing multi-year runway, essentially zero debt (D/E 3.2%), and a Glassdoor rating of 4.0/5 reflecting healthy culture [2], Agios has the resources and organizational stability to execute its rare disease strategy. The 2021 oncology divestiture for $2B demonstrated disciplined capital allocation and strategic clarity.</w:t>
      </w:r>
    </w:p>
    <w:p>
      <w:pPr>
        <w:spacing w:after="120"/>
      </w:pPr>
      <w:r>
        <w:rPr>
          <w:rFonts w:ascii="Calibri" w:hAnsi="Calibri"/>
          <w:b w:val="0"/>
          <w:color w:val="3A4A28"/>
          <w:sz w:val="20"/>
        </w:rPr>
        <w:t>The bear case centers on the path to profitability: Agios lost $99.1M in Q1 2026 alone despite 138% revenue growth, with R&amp;D ($81M) and SG&amp;A ($48M) dwarfing the $20.7M revenue [1]. Cash declined from $1.2B to $1.0B in one quarter, giving approximately 2.5 years of runway at current burn. The rare disease market opportunity for PK deficiency and thalassemia, while meaningful clinically, may be too small to justify the current $1.64B market cap — total PKD revenue guidance of only $45-50M for 2026 suggests slow commercial ramp [1]. Forward P/E is negative with EPS projected at -$4.60, meaning profitability is years away. The stock trades at 27.56 with limited near-term earnings power, and any pipeline failure would destroy the investment case for this single-platform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AQVESME thalassemia launch ramp — Q1 2026 revenue of $18.8M from mitapivat products exceeded expectations; full-year revenue could significantly exceed $45-50M PKD-only guidance [1]</w:t>
      </w:r>
    </w:p>
    <w:p>
      <w:pPr>
        <w:spacing w:before="40" w:after="40"/>
        <w:ind w:left="283"/>
      </w:pPr>
      <w:r>
        <w:rPr>
          <w:rFonts w:ascii="Calibri" w:hAnsi="Calibri"/>
          <w:b/>
          <w:color w:val="4A6B25"/>
          <w:sz w:val="20"/>
        </w:rPr>
        <w:t xml:space="preserve">2. </w:t>
      </w:r>
      <w:r>
        <w:rPr>
          <w:rFonts w:ascii="Calibri" w:hAnsi="Calibri"/>
          <w:b w:val="0"/>
          <w:color w:val="3A4A28"/>
          <w:sz w:val="20"/>
        </w:rPr>
        <w:t>sNDA filing planned for Q2 2026 for additional mitapivat indications, potentially expanding the addressable market and demonstrating regulatory momentum [1]</w:t>
      </w:r>
    </w:p>
    <w:p>
      <w:pPr>
        <w:spacing w:before="40" w:after="40"/>
        <w:ind w:left="283"/>
      </w:pPr>
      <w:r>
        <w:rPr>
          <w:rFonts w:ascii="Calibri" w:hAnsi="Calibri"/>
          <w:b/>
          <w:color w:val="4A6B25"/>
          <w:sz w:val="20"/>
        </w:rPr>
        <w:t xml:space="preserve">3. </w:t>
      </w:r>
      <w:r>
        <w:rPr>
          <w:rFonts w:ascii="Calibri" w:hAnsi="Calibri"/>
          <w:b w:val="0"/>
          <w:color w:val="3A4A28"/>
          <w:sz w:val="20"/>
        </w:rPr>
        <w:t>Rare disease pipeline advancement — earlier-stage programs in genetically defined diseases could provide next-generation growth catalysts beyond mitapivat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Extended path to profitability — losing $99M/quarter despite 138% revenue growth; $1.0B cash provides ~2.5 years runway but may require additional financing if commercial ramp is slower than expected [1]</w:t>
      </w:r>
    </w:p>
    <w:p>
      <w:pPr>
        <w:spacing w:before="40" w:after="40"/>
        <w:ind w:left="283"/>
      </w:pPr>
      <w:r>
        <w:rPr>
          <w:rFonts w:ascii="Calibri" w:hAnsi="Calibri"/>
          <w:b/>
          <w:color w:val="4A6B25"/>
          <w:sz w:val="20"/>
        </w:rPr>
        <w:t xml:space="preserve">2. </w:t>
      </w:r>
      <w:r>
        <w:rPr>
          <w:rFonts w:ascii="Calibri" w:hAnsi="Calibri"/>
          <w:b w:val="0"/>
          <w:color w:val="3A4A28"/>
          <w:sz w:val="20"/>
        </w:rPr>
        <w:t>Small addressable market risk — PK deficiency and thalassemia are rare diseases; total commercial opportunity may be insufficient to justify $1.64B market cap and heavy R&amp;D investment</w:t>
      </w:r>
    </w:p>
    <w:p>
      <w:pPr>
        <w:spacing w:before="40" w:after="40"/>
        <w:ind w:left="283"/>
      </w:pPr>
      <w:r>
        <w:rPr>
          <w:rFonts w:ascii="Calibri" w:hAnsi="Calibri"/>
          <w:b/>
          <w:color w:val="4A6B25"/>
          <w:sz w:val="20"/>
        </w:rPr>
        <w:t xml:space="preserve">3. </w:t>
      </w:r>
      <w:r>
        <w:rPr>
          <w:rFonts w:ascii="Calibri" w:hAnsi="Calibri"/>
          <w:b w:val="0"/>
          <w:color w:val="3A4A28"/>
          <w:sz w:val="20"/>
        </w:rPr>
        <w:t>Single-platform concentration — entire investment case depends on mitapivat (PK activation); competitor entry or safety signal would have existential impact on the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Agios develops and commercializes small-molecule drugs for rare genetic diseases — a business requiring clinical trials, FDA approval, manufacturing of physical pharmaceuticals, and physician relationships for rare disease patient identification [1]. AI cannot replace the biological mechanism of PK activation in patients' red blood cells or substitute for the drug's physical administration. The rare disease space is especially protected because patient populations are small and require specialized medical expertise that AI cannot replicate. However, AI-driven drug discovery could accelerate competitors' development of alternative PK activators or next-generation therapies. AI Opportunity (1/1): Agios's focus on genetically defined diseases positions it to benefit from AI advances in genomic analysis and patient identification — AI could help identify undiagnosed rare disease patients, expanding the addressable market for PYRUKYND and AQVESME.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Agios Pharmaceuticals Q1 2026 Earnings Release — revenue $20.7M (up 138%), net loss $99.1M, R&amp;D $81M, SG&amp;A $48M; PKD guidance $45-50M; cash $1.0B; sNDA planned Q2 2026</w:t>
      </w:r>
    </w:p>
    <w:p>
      <w:pPr>
        <w:spacing w:before="20" w:after="20"/>
        <w:ind w:left="170"/>
      </w:pPr>
      <w:r>
        <w:rPr>
          <w:rFonts w:ascii="Calibri" w:hAnsi="Calibri"/>
          <w:b/>
          <w:color w:val="4A6B25"/>
          <w:sz w:val="15"/>
        </w:rPr>
        <w:t xml:space="preserve">2. </w:t>
      </w:r>
      <w:r>
        <w:rPr>
          <w:rFonts w:ascii="Calibri" w:hAnsi="Calibri"/>
          <w:b w:val="0"/>
          <w:color w:val="3A4A28"/>
          <w:sz w:val="17"/>
        </w:rPr>
        <w:t>Glassdoor — Agios Pharmaceuticals reviews: 4.0/5 overall; 'inclusive, supportive' culture; some concerns about shifting priorities and reactive environment</w:t>
      </w:r>
    </w:p>
    <w:p>
      <w:pPr>
        <w:spacing w:before="20" w:after="20"/>
        <w:ind w:left="170"/>
      </w:pPr>
      <w:r>
        <w:rPr>
          <w:rFonts w:ascii="Calibri" w:hAnsi="Calibri"/>
          <w:b/>
          <w:color w:val="4A6B25"/>
          <w:sz w:val="15"/>
        </w:rPr>
        <w:t xml:space="preserve">3. </w:t>
      </w:r>
      <w:r>
        <w:rPr>
          <w:rFonts w:ascii="Calibri" w:hAnsi="Calibri"/>
          <w:b w:val="0"/>
          <w:color w:val="3A4A28"/>
          <w:sz w:val="17"/>
        </w:rPr>
        <w:t>Agios Corporate — ESG Reports published 2020-2025 aligned with UN SDGs and SASB; Corporate Social Responsibility page; CEO Brian Goff appointed August 2022</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AGIO (Agios Pharmaceuticals), retrieved May 5, 2026 — price $27.56, D/E 3.2%, ROE -33%, revenue growth 138%, avg volume 1.08M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