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w:t>
      </w:r>
      <w:r>
        <w:rPr>
          <w:rFonts w:ascii="Calibri" w:hAnsi="Calibri"/>
          <w:b/>
          <w:color w:val="1A2010"/>
          <w:sz w:val="40"/>
        </w:rPr>
        <w:t xml:space="preserve">  Alamos Gold Inc.</w:t>
      </w:r>
    </w:p>
    <w:p>
      <w:pPr>
        <w:spacing w:after="120"/>
      </w:pPr>
      <w:r>
        <w:rPr>
          <w:rFonts w:ascii="Calibri" w:hAnsi="Calibri"/>
          <w:b/>
          <w:color w:val="6E8450"/>
          <w:sz w:val="18"/>
        </w:rPr>
        <w:t>GROWTH SLEEVE · 2026-04-02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Alamos Gold is a mid-tier gold producer operating three mines in North America: Young-Davidson and Island Gold in Ontario, Canada, and Mulatos in Sonora, Mexico. The company is advancing the Phase 3+ shaft expansion at Island Gold to nearly double production by end of decade. Alamos produced record revenue of $1.8B in 2025 with mineral reserves of 16 million ounces following a 32% reserve increase.</w:t>
      </w:r>
    </w:p>
    <w:p>
      <w:r>
        <w:rPr>
          <w:rFonts w:ascii="Calibri" w:hAnsi="Calibri"/>
          <w:b/>
          <w:color w:val="6E8450"/>
          <w:sz w:val="18"/>
        </w:rPr>
        <w:t>2,200 Employees · https://www.alamosgold.com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Alamos delivered record 2025 revenue of $1.81B (up 34% YoY) with record free cash flow of $352M, and successfully completed the Argonaut Gold acquisition in 2024 which added the Magino mine adjacent to Island Gold — creating a combined super-complex with significant synergies [1]. The company has grown revenue from ~$590M (2020) to $1.81B (2025), a transformative 5-year growth trajectory. AI Deployment (0/2): No AI products or quantified AI-driven savings; Alamos deploys advanced mining technology (automated hauling, state-of-the-art ventilation) but has not articulated an AI strategy [2]. Market Share (2/2): Alamos is now recognized as the 'new king of mid-tier gold producers' with three operating mines producing in the top-quartile cost structure globally [2]. Mineral reserves grew 32% to 16 million ounces — seventh consecutive year of reserve growth — demonstrating ongoing resource replacement leadership [1]. Pipeline (2/2): Phase 3+ shaft expansion at Island Gold is the flagship growth project targeting near-doubling of production by end of decade, with specific timelines and engineering milestones; production expected to rise 12% in 2026 with further growth through 2028 [1]. R&amp;D Intensity (1/1): Significant investment in exploration ($50M+ annually), automated mining systems, and mine engineering relative to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Alamos Gold's purpose focuses on responsible gold mining that creates value for all stakeholders — clear and specific to the business but not transformative beyond mining. The commitment to 'safe mining practices' and environmental stewardship is genuine but industry-standard [2]. Community Impact (2/2): The 2024 ESG Report showed $1.5M invested in local community initiatives, strengthened Indigenous community partnerships, zero significant environmental incidents, and five consecutive years of World Gold Council Responsible Gold Mining Principles compliance [3]. Alamos also achieved a 9% reduction in Scope 3 GHG emissions and participates in the Conflict-Free Gold Standard [3]. Employee Retention (2/2): CEO John McCluskey has led Alamos for 23+ years — one of the longest-tenured CEOs in the gold mining industry — and was named Ontario's 2012 Ernst &amp; Young Entrepreneur of the Year [2]. The management team (CFO Greg Fisher, COO Luc Guimond) is known for technical conservative bias, consistently under-promising and over-delivering on targets, which creates organizational trust [2]. Insider Buying (1/2): McCluskey and the management team have significant equity exposure through stock-based compensation; CEO is widely recognized for shareholder-aligned capital allocation discipline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Alamos Gold achieves a perfect infrastructure score with every metric at or above target. D/E of 5.0% is exceptionally low — the company ended 2025 with $623M cash (up 90% YoY) against only $200M debt, representing fortress-level balance sheet strength [1]. ROE of 22.1% well exceeds the 15% target, demonstrating efficient capital deployment [4]. Revenue grew 53.1% YoY to $1.81B and 5yr CAGR of ~25% far exceeds the 10% target [1]. Forward P/E of 13.8x is attractive and well below the 20x target. Profit margin of 49.0% is extraordinary for a gold miner (EBIT margin 56%, EBITDA margin 64.7%), far above the 20% target [1]. PEG ratio unavailable but excluded from calculation. The 60% dividend increase signals management's confidence in sustainable cash flow. Liquidity floor easily cleared at $193M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Alamos Gold under John McCluskey's 23-year leadership demonstrates strong infinite game characteristics — disciplined capital allocation, consistent reserve replacement, and long-term value creation over quarterly optimization. McCluskey is widely recognized for avoiding the 'growth at any cost' trap that destroyed value at competitors during previous gold cycles. The Turkey exit, while controversial, showed willingness to walk away from a profitable but reputationally damaging situation.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Alamos Gold's purpose of responsible gold mining with long-term stakeholder value creation is genuine and distinctively lived out through McCluskey's 23-year track record of disciplined growth. The company's consistent reserve replacement (7 consecutive years), community investment, and refusal to over-leverage differentiate it from peers — but the cause remains mining-specific rather than transformative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McCluskey's 23-year tenure, combined with the management team's reputation for under-promising and over-delivering, creates an exceptionally high-trust organization [2]. The leadership's conservative technical bias and consistent operational execution build trust both internally and with investors. Zero significant environmental incidents in the 2024 ESG Report further demonstrates operational discipline that starts with empowered, trusted teams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Alamos Gold's competitive language focuses on its own excellence — 'new king of mid-tier gold producers' — rather than learning from rivals. McCluskey explicitly warns about capital destruction at competitors, positioning Alamos as superior rather than using rivals' strengths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$470M exit from Turkey demonstrated willingness to walk away from a major asset when political and environmental opposition made it untenable — a meaningful strategic pivot even if partially forced by circumstances [3]. The Argonaut Gold acquisition and Island Gold Phase 3+ expansion represent significant strategic evolution. However, Alamos remains fundamentally a gold mining company without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McCluskey's disciplined capital allocation through multiple gold price cycles — avoiding over-leverage when peers were destroying value — represents courageous contrarian leadership [2]. The 60% dividend increase while investing heavily in the Island Gold shaft expansion shows confidence in sustainable cash generation. Walking away from Turkey despite the $470M sunk cost took leadership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Alamos Gold is the premier mid-tier gold producer delivering exceptional financial performance — record 2025 revenue of $1.81B (up 34%), record free cash flow of $352M, profit margin of 49%, ROE of 22%, and a fortress balance sheet with $623M cash against $200M debt (D/E of 5%) [1]. Production is expected to rise 12% in 2026 with the company targeting near-doubling by end of decade through the Island Gold Phase 3+ shaft expansion. Mineral reserves grew 32% to 16M ounces for the seventh consecutive year, providing exceptional reserve replacement [1]. At 13.8x forward P/E with 50%+ revenue growth, Alamos is attractively valued relative to both growth rate and gold price upside. Analysts rate AGI a Strong Buy with price targets ranging from $48 (BofA) to $63 (RBC) versus the current $45.62 [1]. CEO McCluskey's 23-year tenure of disciplined capital allocation is a rare competitive advantage in the mining sector [2].</w:t>
      </w:r>
    </w:p>
    <w:p>
      <w:pPr>
        <w:spacing w:after="120"/>
      </w:pPr>
      <w:r>
        <w:rPr>
          <w:rFonts w:ascii="Calibri" w:hAnsi="Calibri"/>
          <w:b w:val="0"/>
          <w:color w:val="3A4A28"/>
          <w:sz w:val="20"/>
        </w:rPr>
        <w:t>The bear case centers on gold price dependence and growth execution risk. Alamos' exceptional 2025 results benefited from elevated gold prices — a sustained decline below $1,800/oz would compress margins and reduce the NPV of the Island Gold expansion and 16M ounce reserve base [1]. The Phase 3+ shaft expansion requires ~$1B+ in capital over multiple years, creating execution and cost overrun risk in a tight mining labor market with rising Canadian energy costs [2]. The 53.1% revenue growth in 2025 was partially acquisition-driven (Argonaut Gold) and may not repeat organically. The Turkey exit, while strategically sound, resulted in a $470M loss on assets and a $1B arbitration that consumed management attention [3]. Pure-play gold exposure provides no commodity diversification, and the dividend yield of 0.25% offers minimal income cushion in a downturn. Mining in Northern Ontario and Mexico exposes Alamos to seasonal weather disruptions, permitting risk, and jurisdiction-specific regulatory changes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Island Gold Phase 3+ shaft expansion progress — construction milestones toward near-doubling production by end of decade will directly drive revenue and free cash flow growth [1]</w:t>
      </w:r>
    </w:p>
    <w:p>
      <w:pPr>
        <w:spacing w:before="40" w:after="40"/>
        <w:ind w:left="283"/>
      </w:pPr>
      <w:r>
        <w:rPr>
          <w:rFonts w:ascii="Calibri" w:hAnsi="Calibri"/>
          <w:b/>
          <w:color w:val="4A6B25"/>
          <w:sz w:val="20"/>
        </w:rPr>
        <w:t xml:space="preserve">2. </w:t>
      </w:r>
      <w:r>
        <w:rPr>
          <w:rFonts w:ascii="Calibri" w:hAnsi="Calibri"/>
          <w:b w:val="0"/>
          <w:color w:val="3A4A28"/>
          <w:sz w:val="20"/>
        </w:rPr>
        <w:t>Sustained elevated gold prices above $2,000/oz — high gold prices combined with Alamos' low-cost production profile create exceptional operating leverage and free cash flow generation [1]</w:t>
      </w:r>
    </w:p>
    <w:p>
      <w:pPr>
        <w:spacing w:before="40" w:after="40"/>
        <w:ind w:left="283"/>
      </w:pPr>
      <w:r>
        <w:rPr>
          <w:rFonts w:ascii="Calibri" w:hAnsi="Calibri"/>
          <w:b/>
          <w:color w:val="4A6B25"/>
          <w:sz w:val="20"/>
        </w:rPr>
        <w:t xml:space="preserve">3. </w:t>
      </w:r>
      <w:r>
        <w:rPr>
          <w:rFonts w:ascii="Calibri" w:hAnsi="Calibri"/>
          <w:b w:val="0"/>
          <w:color w:val="3A4A28"/>
          <w:sz w:val="20"/>
        </w:rPr>
        <w:t>Further mineral reserve growth — eighth consecutive year of reserve increases would extend mine life and reinforce Alamos' organic growth story, potentially triggering additional analyst upgrades beyond the $63 RBC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dependence — a sustained decline below $1,800/oz would compress Alamos' 49% profit margin and reduce the economic value of the 16M ounce reserve base and Island Gold expansion [1]</w:t>
      </w:r>
    </w:p>
    <w:p>
      <w:pPr>
        <w:spacing w:before="40" w:after="40"/>
        <w:ind w:left="283"/>
      </w:pPr>
      <w:r>
        <w:rPr>
          <w:rFonts w:ascii="Calibri" w:hAnsi="Calibri"/>
          <w:b/>
          <w:color w:val="4A6B25"/>
          <w:sz w:val="20"/>
        </w:rPr>
        <w:t xml:space="preserve">2. </w:t>
      </w:r>
      <w:r>
        <w:rPr>
          <w:rFonts w:ascii="Calibri" w:hAnsi="Calibri"/>
          <w:b w:val="0"/>
          <w:color w:val="3A4A28"/>
          <w:sz w:val="20"/>
        </w:rPr>
        <w:t>Phase 3+ shaft expansion execution risk — ~$1B+ capital project in Northern Ontario faces potential cost overruns, labor shortages, and construction delays that could push back the production doubling timeline [2]</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the Argonaut Gold/Magino complex integration drove 2025 revenue growth, but achieving projected synergies with the Island Gold super-complex requires flawless operational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 the physical extraction, processing, and sale of gold from underground deposits cannot be replicated, substituted, or displaced by artificial intelligence [2]. Alamos operates hard-rock underground and open-pit mines requiring massive physical infrastructure, geological expertise, skilled labor, and environmental compliance that are entirely beyond AI's reach. AI data center construction and energy demand may actually increase inflationary pressures that benefit gold as a store of value. Unlike PGM producers that face BEV substitution risk, gold's primary demand as a monetary/safe-haven asset and jewelry is unaffected by the energy transition [2]. AI Opportunity (0/1): Alamos does not generate revenue from AI products; operational technology investments focus on automated hauling and ventilation rather than AI-driven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Alamos Gold 2025 Annual Results and 2026 Outlook — Record $1.81B revenue, $352M FCF, $623M cash, 16M oz reserves, 12% production growth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Alamos Gold Corporate Website, Chronicle Journal Deep Dive, Comparably — CEO McCluskey 23-year tenure, disciplined capital allocation, Island Gold Phase 3+, automated mining,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CBC News, France 24, Globe and Mail, Mining.com — Turkey Kirazlı controversy, $470M exit, 2024 ESG Report (zero incidents, $1.5M community investment, WGC compliance), 2019-2025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AGI key statistics, financial data, dividend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