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AGL</w:t>
      </w:r>
      <w:r>
        <w:rPr>
          <w:rFonts w:ascii="Calibri" w:hAnsi="Calibri"/>
          <w:b/>
          <w:color w:val="1A2010"/>
          <w:sz w:val="40"/>
        </w:rPr>
        <w:t xml:space="preserve">  agilon health,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55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Care Facilities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agilon health provides a platform enabling primary care physicians to participate in value-based care for senior populations, managing total healthcare needs through per-member per-month subscription models across Medicare Advantage and ACO REACH programs.</w:t>
      </w:r>
    </w:p>
    <w:p>
      <w:r>
        <w:rPr>
          <w:rFonts w:ascii="Calibri" w:hAnsi="Calibri"/>
          <w:b/>
          <w:color w:val="6E8450"/>
          <w:sz w:val="18"/>
        </w:rPr>
        <w:t>856 Employees · https://www.agilonhealth.com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agilon has built a cloud-based data and AI platform that aggregates multi-source data to generate personalized clinical recommendations for its network of 2,800+ PCPs [1]. The partnership with Navina for AI-driven clinical insights and a data pipeline covering 85%+ of members with 99%+ correlation rates shows meaningful tech deployment [3]. However, revenue declined 2% YoY in FY2025 to $5.93B, membership fell to 625,000, and the company is contracting rather than expanding — exiting unprofitable contracts and guiding 2026 revenue down to $5.41-5.58B [1][2]. R&amp;D intensity is modest for a company positioning itself as a tech-enabled platform.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value-based care mission — shifting healthcare from volume to value for seniors — is genuinely compelling, and the profit-sharing model reinvests half of local profits back into physician partners and communities [5]. However, Glassdoor paints a troubled picture: 3.1/5.0 rating with only 36% recommending the company to a friend [3]. Reviews cite constant layoffs conducted quietly, leadership that 'revisits the same decisions without a clear long-term plan,' and allegations of insider trading [3][4]. The disconnect between mission rhetoric and employee experience undermines inspiration credibility.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Financial fundamentals are deeply distressed. FY2025 produced a $296M adjusted EBITDA loss and negative $57M medical margin, with profit margin at -6.6% and ROE at -135.6% [1][2]. Debt-to-equity of 29.0 is manageable but the company is burning cash rapidly. The stock trades at $0.35 with a market cap of ~$145M against $5.9B revenue, reflecting severe market skepticism. Forward P/E is negative at -1.8. The 2026 guidance targets breakeven EBITDA but requires a $300M+ medical margin swing, which is ambitious given elevated 7.5% medical cost trends [1]. Liquidity floor check: avg volume 6.5M × $0.35 = $2.3M — passes, but barely.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agilon's value-based care mission has infinite game qualities, but execution is firmly finite — the company is in survival mode, cutting contracts, reducing membership, and targeting breakeven as its primary goal rather than long-term platform expansion.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Transforming healthcare from volume to value for seniors is a worthy cause, and the physician profit-sharing model aligns incentives well [5]. However, the cause feels increasingly disconnected from operational reality as the company shrinks its footprint and struggles with profitability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3.1/5.0 rating and 36% recommendation rate signal deep cultural problems [3]. Employees describe 'quiet layoffs,' leadership that prioritizes office politics, and a disconnect between messaging and reality [3][4]. The high turnover and insider trading allegations further erode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agilon competes against well-funded rivals including Aledade, Oak Street Health (CVS), and Innovaccer [4]. The company acknowledges competitive pressure but has responded primarily by retreating from unprofitable markets rather than innovating to compete more effectively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to exiting unprofitable contracts and targeting breakeven shows some strategic flexibility, and the ACO REACH expansion ($20-25M expected contribution) represents a meaningful model diversification [1][2]. However, these moves feel more like survival tactics than bold strategic pivots.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under CEO Steven Sell has overseen a dramatic decline from $14+ to $0.35, a $296M EBITDA loss, and serial membership contraction [1][2]. The FY2025 results widely missed expectations, and the 2026 turnaround plan relies heavily on cost trends moderating — a factor largely outside management's control [1]. Ron Williams brings credibility as executive chairman, but operational execution has been poor.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agilon health is a deeply distressed value-based care platform attempting a high-risk turnaround from $296M EBITDA losses to breakeven in 2026. The company's cloud-based AI platform and 2,800+ PCP network provide a genuine technological moat, but execution has been poor — membership is declining, revenue is contracting, and the stock has lost over 97% of its value.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2026 guidance requires a $350M+ swing in medical margin, which depends on favorable medical cost trends (guided at 7.5% gross) and successful contract renegotiations. While the value-based care TAM remains large and agilon's mission is compelling, the probability of successful execution at this stage is low, and the company faces competitive pressure from better-capitalized peers and a class action lawsuit. At $0.35/share, this is a speculative turnaround bet with significant downside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Achieving breakeven adjusted EBITDA in 2026 would validate the turnaround thesis and could trigger significant re-rating from sub-$1 levels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ACO REACH program expansion expected to contribute $20-25M, diversifying beyond Medicare Advantage dependence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Medical margin swing to $300-350M from -$57M loss, driven by contract exits and improved cost management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Medical cost trends at 7.5% could exceed guidance, derailing the breakeven target and forcing additional contract exits or capital raises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Class action lawsuit alleging securities law violations creates legal liability and management distraction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Sub-$1 stock price risks NASDAQ/NYSE delisting, further eroding investor confidence and limiting capital access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both enabler and moderate threat for agilon. The company's core platform leverages AI/ML for predictive utilization analytics, identifying high-risk patients for targeted care management, and its Navina partnership surfaces actionable clinical insights from unstructured data [3]. However, AI disruption risk is real: tech giants and startups like Aledade, Innovaccer, and Vytalize Health are building competing AI-forward value-based care platforms [3][4]. AI-driven insurance decision-making raises regulatory concerns that could reshape the competitive landscape [4]. agilon's proprietary data pipeline is a defensive moat, but its small scale and financial distress limit its ability to invest in next-generation AI capabilities.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agilon health Q4 and Full Year FY2025 Earnings Release,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AGL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agilon health employee reviews (183 reviews),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Seeking Alpha — agilon health outlines $5.5B revenue and breakeven EBITDA for 2026,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agilon health ESG Social Impact Strategy page,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