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AGRO</w:t>
      </w:r>
      <w:r>
        <w:rPr>
          <w:rFonts w:ascii="Calibri" w:hAnsi="Calibri"/>
          <w:b/>
          <w:color w:val="1A2010"/>
          <w:sz w:val="40"/>
        </w:rPr>
        <w:t xml:space="preserve">  Adecoagro S.A.</w:t>
      </w:r>
    </w:p>
    <w:p>
      <w:pPr>
        <w:spacing w:after="120"/>
      </w:pPr>
      <w:r>
        <w:rPr>
          <w:rFonts w:ascii="Calibri" w:hAnsi="Calibri"/>
          <w:b/>
          <w:color w:val="6E8450"/>
          <w:sz w:val="18"/>
        </w:rPr>
        <w:t>GROWTH SLEEVE · 2026-05-04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Luxembourg</w:t>
      </w:r>
    </w:p>
    <w:p>
      <w:pPr>
        <w:spacing w:after="80"/>
      </w:pPr>
      <w:r>
        <w:rPr>
          <w:rFonts w:ascii="Calibri" w:hAnsi="Calibri"/>
          <w:b w:val="0"/>
          <w:color w:val="3A4A28"/>
          <w:sz w:val="20"/>
        </w:rPr>
        <w:t>Adecoagro is a South American agro-industrial company operating in Argentina, Brazil, Chile, and Uruguay. It produces agricultural commodities (soybean, corn, wheat, rice), dairy products, sugar, ethanol, biomethane, and electricity from sugarcane. As of May 2025, the company operates as a subsidiary of Tether Investments S.A. De C.V. following a 70% stake acquisition.</w:t>
      </w:r>
    </w:p>
    <w:p>
      <w:r>
        <w:rPr>
          <w:rFonts w:ascii="Calibri" w:hAnsi="Calibri"/>
          <w:b/>
          <w:color w:val="6E8450"/>
          <w:sz w:val="18"/>
        </w:rPr>
        <w:t>https://www.adecoagro.com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Adecoagro completed the transformative Profertil acquisition, expanding its revenue base from $1.5B to above $2.0B pro forma and positioning for $700M in EBITDA, representing the most significant strategic move in recent years [1]. AI Deployment (0/2): No evidence of AI-powered products or measurable AI-driven cost savings; operations remain traditional agriculture and processing [2]. Market Share (1/2): Adecoagro is a meaningful player in South American sugarcane ethanol and dairy but is not a category leader or fastest share gainer in any single segment [1]. Pipeline (1/2): Low double-digit sugarcane crushing volume growth projected for 2026, ethanol maximization strategy, and full Profertil integration provide visible near-term revenue trajectory, though timelines are general rather than product-specific [1]. R&amp;D Intensity (1/1): The company invests in genetic seed development and precision agriculture practices above typical South American farm product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Adecoagro's sustainability website articulates a purpose around sustainable food and energy production with environmental stewardship, which is clear and relevant but not deeply distinctive among agribusiness peers [3]. Community Impact (1/2): The company maintains community programs in Argentina and Brazil including health, education, and local development initiatives as documented on its sustainability site, though specific dollar amounts and measurable impact data are limited [3]. Employee Retention (0/2): No specific employee retention data, turnover rates, or tenure statistics found; the company does not disclose employee count publicly [2]. Insider Buying (1/2): Co-founder and CEO Mariano Bosch has led the company since inception (2002), demonstrating long-term commitment, and Tether Investments' 70% acquisition at a premium signals external conviction in the company's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Adecoagro shows a mixed financial profile: $1.43B revenue with 11.1% YoY growth and attractive forward P/E of 10.7x reflect value [4]. However, trailing profitability is weak with -0.6% profit margin, -0.4% ROE, and trailing EPS of -$0.08, reflecting a tough 2025 impacted by commodity pricing and currency headwinds [4]. D/E of 108.8% is manageable for an asset-heavy agricultural operation. Forward EPS of $1.31 implies a dramatic turnaround, driven by the Profertil acquisition and BofA's upgraded $617M EBITDA estimate for 2026 [1]. PEG of 76.0 is distorted by near-zero trailing earnings and should be discounted. $308.5M operating cash flow and $346.6M free cash flow demonstrate strong underlying cash generation despite accounting losses [4]. Liquidity floor cleared: 1.51M avg volume x $13.90 = $21.0M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Adecoagro under co-founder CEO Mariano Bosch demonstrates elements of infinite game thinking — 24 years of consistent leadership, a land transformation business model that inherently requires long-term vision, and investment in sustainability. However, the Tether Investments acquisition introduces governance uncertainty, and the company's competitive language focuses on operational efficiency metrics rather than purpose-driven 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Adecoagro's purpose of sustainable food and energy production in South America connects agriculture to environmental stewardship through carbon credit sales, biomethane production, and circular economy practices [3]. The cause is genuine and has been pursued since 2002, but it hasn't been tested through the kind of existential crisis that validates a Just Cause. The Tether acquisition raises questions about whether purpose will survive under new ownership.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CEO Mariano Bosch's 24-year tenure provides leadership continuity, and the company maintains sustainability and community programs suggesting organizational stability [2][3]. However, the board overhaul following Tether's acquisition — with multiple resignations and five new directors appointed — represents a significant trust disruption at the governance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Adecoagro acknowledging competitors' strengths or framing competition as a learning opportunity. The company's communications focus on operational metrics (crushing volumes, EBITDA targets) and its own land transformation strategy rather than competitive learning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Profertil acquisition represents meaningful strategic evolution from pure agriculture into integrated fertilizer production, expanding the value chain. The company has incrementally diversified from crops to sugar/ethanol to dairy to energy to fertilizers over two decades [1]. However, none of these represent a transformative pivot — the company remains fundamentally an agricultural operator.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Profertil acquisition during a period of weak trailing earnings demonstrates willingness to invest for long-term capability over short-term optics, and the sustained investment in biomethane and carbon credit infrastructure shows conviction in sustainability before it was fashionable in agriculture [1][3]. However, accepting Tether's acquisition could be seen as prioritizing near-term shareholder liquidity over long-term independence.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Adecoagro is a deep value play in South American agribusiness trading at just 10.7x forward earnings, with the transformative Profertil acquisition expanding the revenue base from $1.5B to $2.0B+ and BofA upgrading its 2026 EBITDA estimate to $617M [1]. Analysts project 26% revenue growth to $1.8B and EPS surging 579% to $1.12 as Profertil normalizes and sugarcane crushing volumes grow at low double digits [1]. The company generates $347M in free cash flow, pays a 2.1% dividend, and sells carbon credits from its biomethane operations, positioning it at the intersection of food security and renewable energy [4]. The Tether 70% stake acquisition provides a well-capitalized controlling shareholder.</w:t>
      </w:r>
    </w:p>
    <w:p>
      <w:pPr>
        <w:spacing w:after="120"/>
      </w:pPr>
      <w:r>
        <w:rPr>
          <w:rFonts w:ascii="Calibri" w:hAnsi="Calibri"/>
          <w:b w:val="0"/>
          <w:color w:val="3A4A28"/>
          <w:sz w:val="20"/>
        </w:rPr>
        <w:t>The bear case centers on governance risk and commodity exposure. Tether Investments' 70% acquisition raises serious governance questions — the board was overhauled with five new directors, and Tether's cryptocurrency-adjacent reputation introduces reputational risk for an agricultural company [2]. Trailing ROE of -0.4% and profit margin of -0.6% reflect a challenging 2025, and the payout ratio of 149% is unsustainable if losses persist [4]. AGRO operates in politically volatile markets (Argentina, Brazil) with currency devaluation risk, commodity price exposure, and weather-dependent production. D/E of 108.8% is elevated following the Profertil acquisition debt. The PEG ratio of 76.0, while distorted, signals that the market has already priced in the turnaround, leaving limited upside if the Profertil integration stumbles or commodity prices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Profertil acquisition integration driving revenue to $2.0B+ and EBITDA toward $700M as fertilizer operations normalize in 2026 [1]</w:t>
      </w:r>
    </w:p>
    <w:p>
      <w:pPr>
        <w:spacing w:before="40" w:after="40"/>
        <w:ind w:left="283"/>
      </w:pPr>
      <w:r>
        <w:rPr>
          <w:rFonts w:ascii="Calibri" w:hAnsi="Calibri"/>
          <w:b/>
          <w:color w:val="4A6B25"/>
          <w:sz w:val="20"/>
        </w:rPr>
        <w:t xml:space="preserve">2. </w:t>
      </w:r>
      <w:r>
        <w:rPr>
          <w:rFonts w:ascii="Calibri" w:hAnsi="Calibri"/>
          <w:b w:val="0"/>
          <w:color w:val="3A4A28"/>
          <w:sz w:val="20"/>
        </w:rPr>
        <w:t>Q1 2026 earnings release on May 11 expected to show first full-quarter contribution from Profertil and sugarcane crushing volume growth [1]</w:t>
      </w:r>
    </w:p>
    <w:p>
      <w:pPr>
        <w:spacing w:before="40" w:after="40"/>
        <w:ind w:left="283"/>
      </w:pPr>
      <w:r>
        <w:rPr>
          <w:rFonts w:ascii="Calibri" w:hAnsi="Calibri"/>
          <w:b/>
          <w:color w:val="4A6B25"/>
          <w:sz w:val="20"/>
        </w:rPr>
        <w:t xml:space="preserve">3. </w:t>
      </w:r>
      <w:r>
        <w:rPr>
          <w:rFonts w:ascii="Calibri" w:hAnsi="Calibri"/>
          <w:b w:val="0"/>
          <w:color w:val="3A4A28"/>
          <w:sz w:val="20"/>
        </w:rPr>
        <w:t>Low double-digit sugarcane crushing growth and ethanol maximization strategy benefiting from strong Brazilian ethanol demand and biofuel mandates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Tether Investments governance risk — 70% controlling stake by a cryptocurrency-adjacent entity with board overhaul introduces reputational and strategic uncertainty [2]</w:t>
      </w:r>
    </w:p>
    <w:p>
      <w:pPr>
        <w:spacing w:before="40" w:after="40"/>
        <w:ind w:left="283"/>
      </w:pPr>
      <w:r>
        <w:rPr>
          <w:rFonts w:ascii="Calibri" w:hAnsi="Calibri"/>
          <w:b/>
          <w:color w:val="4A6B25"/>
          <w:sz w:val="20"/>
        </w:rPr>
        <w:t xml:space="preserve">2. </w:t>
      </w:r>
      <w:r>
        <w:rPr>
          <w:rFonts w:ascii="Calibri" w:hAnsi="Calibri"/>
          <w:b w:val="0"/>
          <w:color w:val="3A4A28"/>
          <w:sz w:val="20"/>
        </w:rPr>
        <w:t>South American political and currency risk — Argentine peso devaluation, Brazilian real volatility, and potential trade policy changes could materially impact USD-reported earnings [4]</w:t>
      </w:r>
    </w:p>
    <w:p>
      <w:pPr>
        <w:spacing w:before="40" w:after="40"/>
        <w:ind w:left="283"/>
      </w:pPr>
      <w:r>
        <w:rPr>
          <w:rFonts w:ascii="Calibri" w:hAnsi="Calibri"/>
          <w:b/>
          <w:color w:val="4A6B25"/>
          <w:sz w:val="20"/>
        </w:rPr>
        <w:t xml:space="preserve">3. </w:t>
      </w:r>
      <w:r>
        <w:rPr>
          <w:rFonts w:ascii="Calibri" w:hAnsi="Calibri"/>
          <w:b w:val="0"/>
          <w:color w:val="3A4A28"/>
          <w:sz w:val="20"/>
        </w:rPr>
        <w:t>Commodity price dependency — sugar, ethanol, soybean, corn, and fertilizer prices are cyclical and weather-dependent, with limited pricing power despite vertical integration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Adecoagro's core business — physically growing, harvesting, and processing agricultural commodities, sugar, ethanol, and dairy products in South America — is structurally immune to AI disruption [1]. AI cannot substitute for farmland, sugarcane processing plants, dairy cattle, or fertilizer production. The business involves physical-world operations, weather-dependent crop cycles, and complex supply chains that are fundamentally analog. If anything, AI increases demand for biofuels and sustainable food systems as data center energy consumption grows. AI Opportunity (0/1): No evidence of AI-derived revenue or AI-powered products/services; Adecoagro does not generate revenue from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Adecoagro Q4 2025 Earnings Call Transcript — Profertil acquisition, $617M EBITDA estimate, 2026 guidance, March 2026; Investing.com report</w:t>
      </w:r>
    </w:p>
    <w:p>
      <w:pPr>
        <w:spacing w:before="20" w:after="20"/>
        <w:ind w:left="170"/>
      </w:pPr>
      <w:r>
        <w:rPr>
          <w:rFonts w:ascii="Calibri" w:hAnsi="Calibri"/>
          <w:b/>
          <w:color w:val="4A6B25"/>
          <w:sz w:val="15"/>
        </w:rPr>
        <w:t xml:space="preserve">2. </w:t>
      </w:r>
      <w:r>
        <w:rPr>
          <w:rFonts w:ascii="Calibri" w:hAnsi="Calibri"/>
          <w:b w:val="0"/>
          <w:color w:val="3A4A28"/>
          <w:sz w:val="17"/>
        </w:rPr>
        <w:t>Adecoagro Board of Directors changes, Tether Investments acquisition, leadership information — PRNewswire, The Org, Simply Wall St, May 2025</w:t>
      </w:r>
    </w:p>
    <w:p>
      <w:pPr>
        <w:spacing w:before="20" w:after="20"/>
        <w:ind w:left="170"/>
      </w:pPr>
      <w:r>
        <w:rPr>
          <w:rFonts w:ascii="Calibri" w:hAnsi="Calibri"/>
          <w:b/>
          <w:color w:val="4A6B25"/>
          <w:sz w:val="15"/>
        </w:rPr>
        <w:t xml:space="preserve">3. </w:t>
      </w:r>
      <w:r>
        <w:rPr>
          <w:rFonts w:ascii="Calibri" w:hAnsi="Calibri"/>
          <w:b w:val="0"/>
          <w:color w:val="3A4A28"/>
          <w:sz w:val="17"/>
        </w:rPr>
        <w:t>Adecoagro Sustainability Report and ESG Committee — sustainability.adecoagro.com,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AGRO — financial metrics, market data, accessed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