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AGRZ</w:t>
      </w:r>
      <w:r>
        <w:rPr>
          <w:rFonts w:ascii="Calibri" w:hAnsi="Calibri"/>
          <w:b/>
          <w:color w:val="1A2010"/>
          <w:sz w:val="40"/>
        </w:rPr>
        <w:t xml:space="preserve">  Agroz Inc.</w:t>
      </w:r>
    </w:p>
    <w:p>
      <w:pPr>
        <w:spacing w:after="120"/>
      </w:pPr>
      <w:r>
        <w:rPr>
          <w:rFonts w:ascii="Calibri" w:hAnsi="Calibri"/>
          <w:b/>
          <w:color w:val="6E8450"/>
          <w:sz w:val="18"/>
        </w:rPr>
        <w:t>GROWTH SLEEVE · 2026-03-31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Farm Products · NASDAQ · Malaysia</w:t>
      </w:r>
    </w:p>
    <w:p>
      <w:pPr>
        <w:spacing w:after="80"/>
      </w:pPr>
      <w:r>
        <w:rPr>
          <w:rFonts w:ascii="Calibri" w:hAnsi="Calibri"/>
          <w:b w:val="0"/>
          <w:color w:val="3A4A28"/>
          <w:sz w:val="20"/>
        </w:rPr>
        <w:t>Agroz Inc. is a vertically integrated agricultural technology (AgTech) company based in Malaysia that designs, develops, builds, operates, and manages large-scale, industrial-grade indoor Controlled Environment Agriculture (CEA) vertical farms. The company uses its proprietary Agroz OS operating system combining automated hardware and software solutions to grow produce including green butterhead lettuce, bok choy, and Japanese strawberries, achieving claimed yield increases of up to 500% while using 20 times less water than traditional farming.</w:t>
      </w:r>
    </w:p>
    <w:p>
      <w:r>
        <w:rPr>
          <w:rFonts w:ascii="Calibri" w:hAnsi="Calibri"/>
          <w:b/>
          <w:color w:val="6E8450"/>
          <w:sz w:val="18"/>
        </w:rPr>
        <w:t>200 Employees · https://agrozgroup.com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Agroz has developed a compelling proprietary technology stack with its Agroz OS vertical farm operating system, achieving claimed 500% yield increases and 20x water reduction versus open-field farming, validated by recognition from UNDP Malaysia's SDG Investor Map and participation in the Fortune Innovation Forum [1][2]. The debut of 'Agroz Robotics' — integrating AI and automation for smart farming with offline humanoid robots using Meta's Llama model — represents genuine innovation at the frontier of agricultural technology [2]. The successful cultivation of Japanese strawberries in Malaysian vertical farms demonstrates the platform's versatility across crop types [1]. However, the company is pre-scale with a $10.6 million market cap, and innovation claims have not yet been validated by sustained commercial operations at meaningful scale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Gerard Lim brings 28+ years of technology and regulatory experience, including serving as Chief Digital Officer at Malaysia's Communications and Multimedia Commission, and his 28.47% ownership stake demonstrates strong personal alignment with shareholder outcomes [2]. The leadership team includes a former Nestlé Indonesia CEO, adding food industry credibility [2]. However, the board averages only ~1 year of tenure, suggesting governance immaturity for a publicly traded company, and the Nasdaq non-compliance notice for failing the $1.00 minimum bid price requirement raises concerns about the company's ability to maintain its public listing [1]. No Glassdoor reviews are available to assess employee sentiment, and the company's employee count is undisclosed, limiting cultural visibility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Agroz's financial metrics are optically impressive for the mechanical scoring framework — trailing P/E of 5.4x, ROE of 85.9%, D/E of 69.8%, profit margins of 13.3%, and explosive revenue growth (320% YoY, 2024 revenue of $40.9 million) — but these figures must be contextualized by the company's micro-cap status ($10.6M market cap), short operating history (founded 2020), and the Nasdaq listing non-compliance notice [1][2]. TTM revenue has declined to $14.9 million from the $40.9 million annual figure, suggesting potential revenue volatility or customer concentration risk [1]. The company has minimal cash ($860K) against $2.7 million in debt, and the lack of analyst coverage or forward earnings estimates reflects the market's limited confidence in earnings visibility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Agroz demonstrates a genuine infinite game orientation through its mission to transform food security using sustainable technology aligned with 10 UN Sustainable Development Goals, but the company's short history, immature governance, and micro-cap scale make it premature to assess whether this orientation will endure under financial pressure [1][2][3].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Agroz's mission to revolutionize food production through sustainable vertical farming addresses one of humanity's most fundamental challenges — food security in a climate-constrained world — and its alignment with 10 UN SDGs, UNDP Malaysia recognition, and ESG Malaysia awards suggest genuine commitment beyond commercial interest [2][3]. CEO Lim's public advocacy that 'electricity for data centers and AI chips is also required for growing food' reflects an authentic voice connecting technology innovation to human welfare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no Glassdoor reviews, undisclosed employee count, a board averaging only ~1 year of tenure, and a Nasdaq non-compliance notice, there is insufficient evidence to assess team trust and virtually no publicly available signals of a strong internal culture [1][2]. The lack of transparency about workforce size and composition for a publicly traded company is itself a governance concern that undermines trust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There is no public evidence of Agroz acknowledging or engaging with worthy rivals in the vertical farming space such as AppHarvest, AeroFarms, Plenty, or Bowery Farming. The company positions itself as a pioneer rather than a collaborative competitor, which may reflect confidence but could also indicate insularity in a rapidly evolving sector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expansion from lettuce/bok choy production into Japanese strawberries and the pivot toward Agroz Robotics for autonomous farming demonstrate strategic flexibility and willingness to evolve the business model [1][2]. The company's positioning of farms as an 'investable asset class' reflects creative thinking about capital structure and business model innovation beyond pure AgTech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Going public on NASDAQ as a Malaysian vertical farming startup, presenting alongside established companies at the Fortune Innovation Forum, and pursuing AI-driven robotics in agriculture all demonstrate entrepreneurial courage [1][2]. CEO Lim's willingness to publicly challenge the AI industry's resource consumption priorities shows intellectual courage, though the Nasdaq non-compliance situation suggests the company may have been premature in pursuing a public listing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Agroz represents a speculative micro-cap bet on the convergence of AI, robotics, and sustainable agriculture, with a genuinely innovative proprietary technology platform (Agroz OS, Agroz Robotics) that has achieved impressive operational metrics — 500% yield increases, 20x water reduction — in Malaysia's emerging vertical farming sector [1][2]. The company's optically strong financials (P/E 5.4x, ROE 85.9%, 13.3% margins) and alignment with global food security megatrends create an appealing surface-level narrative.</w:t>
      </w:r>
    </w:p>
    <w:p>
      <w:pPr>
        <w:spacing w:after="120"/>
      </w:pPr>
      <w:r>
        <w:rPr>
          <w:rFonts w:ascii="Calibri" w:hAnsi="Calibri"/>
          <w:b w:val="0"/>
          <w:color w:val="3A4A28"/>
          <w:sz w:val="20"/>
        </w:rPr>
        <w:t>However, this is a sub-penny stock ($0.49) with a $10.6 million market cap that has received a Nasdaq non-compliance notice for failing the $1.00 minimum bid requirement, raising delisting risk [1]. TTM revenue has declined from $40.9 million annually to $14.9 million, suggesting potential revenue cliff or customer concentration issues. The company has minimal cash ($860K), immature governance (1-year average board tenure), no analyst coverage, and limited financial transparency [1]. Malaysia's Budget 2026 income tax exemption for agriculture provides a modest policy tailwind, but the fundamental investability risk — including potential delisting — means AGRZ is only appropriate for highly speculative portfolios willing to accept total loss scenarios. WATCH until listing compliance is resolved and revenue trajectory stabilizes.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resolution of Nasdaq minimum bid price non-compliance by the August 2026 deadline, potentially through reverse stock split or share price appreciation [1]</w:t>
      </w:r>
    </w:p>
    <w:p>
      <w:pPr>
        <w:spacing w:before="40" w:after="40"/>
        <w:ind w:left="283"/>
      </w:pPr>
      <w:r>
        <w:rPr>
          <w:rFonts w:ascii="Calibri" w:hAnsi="Calibri"/>
          <w:b/>
          <w:color w:val="4A6B25"/>
          <w:sz w:val="20"/>
        </w:rPr>
        <w:t xml:space="preserve">2. </w:t>
      </w:r>
      <w:r>
        <w:rPr>
          <w:rFonts w:ascii="Calibri" w:hAnsi="Calibri"/>
          <w:b w:val="0"/>
          <w:color w:val="3A4A28"/>
          <w:sz w:val="20"/>
        </w:rPr>
        <w:t>Commercialization of the Agroz Robotics platform and Japanese strawberry distribution in Southeast Asia and GCC markets, diversifying revenue beyond lettuce/greens [1][2]</w:t>
      </w:r>
    </w:p>
    <w:p>
      <w:pPr>
        <w:spacing w:before="40" w:after="40"/>
        <w:ind w:left="283"/>
      </w:pPr>
      <w:r>
        <w:rPr>
          <w:rFonts w:ascii="Calibri" w:hAnsi="Calibri"/>
          <w:b/>
          <w:color w:val="4A6B25"/>
          <w:sz w:val="20"/>
        </w:rPr>
        <w:t xml:space="preserve">3. </w:t>
      </w:r>
      <w:r>
        <w:rPr>
          <w:rFonts w:ascii="Calibri" w:hAnsi="Calibri"/>
          <w:b w:val="0"/>
          <w:color w:val="3A4A28"/>
          <w:sz w:val="20"/>
        </w:rPr>
        <w:t>Malaysia Budget 2026 10-year income tax exemption for new agricultural ventures reducing effective tax rate and attracting institutional capital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if the company fails to regain $1.00 minimum bid compliance by August 2026, which would severely impair liquidity and institutional investor access [1]</w:t>
      </w:r>
    </w:p>
    <w:p>
      <w:pPr>
        <w:spacing w:before="40" w:after="40"/>
        <w:ind w:left="283"/>
      </w:pPr>
      <w:r>
        <w:rPr>
          <w:rFonts w:ascii="Calibri" w:hAnsi="Calibri"/>
          <w:b/>
          <w:color w:val="4A6B25"/>
          <w:sz w:val="20"/>
        </w:rPr>
        <w:t xml:space="preserve">2. </w:t>
      </w:r>
      <w:r>
        <w:rPr>
          <w:rFonts w:ascii="Calibri" w:hAnsi="Calibri"/>
          <w:b w:val="0"/>
          <w:color w:val="3A4A28"/>
          <w:sz w:val="20"/>
        </w:rPr>
        <w:t>Revenue volatility with TTM revenue declining to $14.9 million from $40.9 million annually, suggesting potential customer concentration or demand sustainability issues [1]</w:t>
      </w:r>
    </w:p>
    <w:p>
      <w:pPr>
        <w:spacing w:before="40" w:after="40"/>
        <w:ind w:left="283"/>
      </w:pPr>
      <w:r>
        <w:rPr>
          <w:rFonts w:ascii="Calibri" w:hAnsi="Calibri"/>
          <w:b/>
          <w:color w:val="4A6B25"/>
          <w:sz w:val="20"/>
        </w:rPr>
        <w:t xml:space="preserve">3. </w:t>
      </w:r>
      <w:r>
        <w:rPr>
          <w:rFonts w:ascii="Calibri" w:hAnsi="Calibri"/>
          <w:b w:val="0"/>
          <w:color w:val="3A4A28"/>
          <w:sz w:val="20"/>
        </w:rPr>
        <w:t>Micro-cap scale ($10.6M market cap) with minimal cash reserves ($860K) creates existential funding risk if the company cannot raise additional capital or generate sufficient operating cash flow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Agroz is fundamentally an AI-native company rather than an AI disruption target — its entire business model is built on AI-driven precision agriculture, including the proprietary Agroz OS, AI chatbots for farmer guidance, and the emerging Agroz Robotics platform for autonomous farming [2]. The company's engagement with Microsoft CEO Satya Nadella and use of Meta's Llama model for offline robotics demonstrates genuine AI integration at the operational core [2]. AI enhances rather than threatens vertical farming by enabling yield optimization, predictive maintenance, and autonomous operations that reduce labor costs and improve consistency [2]. The primary risk is that AI-driven agriculture is still an emerging category, and larger, better-capitalized competitors could deploy similar technology at greater scale, but Agroz's first-mover advantage in Southeast Asian vertical farming provides a geographic and operational moat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 — AGRZ Revenue, Statistics, and Financial Data; Nasdaq — AGRZ Deficiency Notice, accessed March 2026</w:t>
      </w:r>
    </w:p>
    <w:p>
      <w:pPr>
        <w:spacing w:before="20" w:after="20"/>
        <w:ind w:left="170"/>
      </w:pPr>
      <w:r>
        <w:rPr>
          <w:rFonts w:ascii="Calibri" w:hAnsi="Calibri"/>
          <w:b/>
          <w:color w:val="4A6B25"/>
          <w:sz w:val="15"/>
        </w:rPr>
        <w:t xml:space="preserve">2. </w:t>
      </w:r>
      <w:r>
        <w:rPr>
          <w:rFonts w:ascii="Calibri" w:hAnsi="Calibri"/>
          <w:b w:val="0"/>
          <w:color w:val="3A4A28"/>
          <w:sz w:val="17"/>
        </w:rPr>
        <w:t>PRNewswire — Agroz Robotics Debut at Fortune Innovation Forum; Simply Wall St — AGRZ Management Analysis; Fortune — Agroz AI-Driven Food Infrastructure,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Agroz Inc. ESG Alignment — UNDP Malaysia SDG Investor Map; ESG Malaysia recognition,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