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AHCO</w:t>
      </w:r>
      <w:r>
        <w:rPr>
          <w:rFonts w:ascii="Calibri" w:hAnsi="Calibri"/>
          <w:b/>
          <w:color w:val="1A2010"/>
          <w:sz w:val="40"/>
        </w:rPr>
        <w:t xml:space="preserve">  AdaptHealth Corp.</w:t>
      </w:r>
    </w:p>
    <w:p>
      <w:pPr>
        <w:spacing w:after="120"/>
      </w:pPr>
      <w:r>
        <w:rPr>
          <w:rFonts w:ascii="Calibri" w:hAnsi="Calibri"/>
          <w:b/>
          <w:color w:val="6E8450"/>
          <w:sz w:val="18"/>
        </w:rPr>
        <w:t>GROWTH SLEEVE · 2026-04-30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AdaptHealth distributes home medical equipment (HME), medical supplies, and home healthcare services across the United States through four segments: Sleep Health, Respiratory Health, Diabetes Health, and Wellness at Home. The company services Medicare, Medicaid, and commercial insurance beneficiaries with CPAP machines, oxygen concentrators, insulin pumps, CGMs, wheelchairs, and other HME devices.</w:t>
      </w:r>
    </w:p>
    <w:p>
      <w:r>
        <w:rPr>
          <w:rFonts w:ascii="Calibri" w:hAnsi="Calibri"/>
          <w:b/>
          <w:color w:val="6E8450"/>
          <w:sz w:val="18"/>
        </w:rPr>
        <w:t>10,900 Employees · https://adapthealth.com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AdaptHealth has executed incremental operational improvements under new CEO Suzanne Foster (appointed May 2024) but no transformative product launches or business model pivots in the last 5 years — growth has come primarily through M&amp;A consolidation in a fragmented HME market [1]. AI Deployment (1/2): The company launched AI-powered self-scheduling for CPAP setups and a self-pay feature in MyApp in late 2025, eliminating the need for customer service interaction — modest but measurable efficiency gains [2]. Market Share (1/2): AdaptHealth is a meaningful player in the HME distribution space with $3.2B revenue but operates in a highly fragmented market without dominant share; the new capitated contract covering ~50,000 members in three Mid-Atlantic states could serve &gt;10 million patients and represents a share-gaining initiative [1]. Pipeline (1/2): The capitated care model is a genuinely new business approach for AHCO that could contribute 5-6% growth in 2026, but pipeline visibility beyond this is limited [1]. R&amp;D Intensity (0/1): As a distributor, AdaptHealth spends minimally on R&amp;D relative to healthcare peers — innovation is operational rather than product-driven.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AdaptHealth's purpose centers on empowering patients to live their best lives at home through HME and services — clear and healthcare-specific but not distinctive among HME companies [3]. Community Impact (1/2): The company serves Medicare and Medicaid beneficiaries, providing essential medical equipment to underserved populations, but no specific charitable programs or foundation activity was identified [3]. Employee Retention (0/2): Glassdoor rating of 3.3/5 with significant negative feedback about overwork, understaffing, and leadership integrity issues — employees describe 'a non-stop sprint with zero work-life balance' [2]. Insider Buying (1/2): Notable insider buying activity: OEP VII purchased $19.9M in shares at $9.73 in March 2026, and Director Dale Wolf bought $71,680 in shares; General Counsel Richard Rew also purchased shares — showing insider conviction at depressed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AdaptHealth's financial profile is mixed. Forward P/E of 10.4x is attractive, but the company posted a net loss of $70.8M in FY2025 compared to $90.4M net income in 2024, with negative profit margin of -2.2% and negative ROE of -4.3% [1]. D/E of 124.7% reflects the leveraged acquisition strategy. Revenue declined 0.5% YoY to $3.24B with 3-year CAGR of ~3.0% [1]. Adjusted EBITDA of $616.7M declined 10.5% from prior year. FY2026 guidance of $3.44-3.51B revenue and $680-730M EBITDA suggests improvement. Liquidity check passed: 1.41M avg volume x $13.08 = $18.5M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AdaptHealth under new CEO Suzanne Foster is transitioning from an acquisition-driven growth model to an organic efficiency-focused strategy. The capitated care contract represents genuine strategic evolution, but the company's history of aggressive M&amp;A, recent leadership turnover, and employee dissatisfaction suggest it is still finding its long-term identity rather than playing a clearly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AdaptHealth's purpose of empowering patients to live their best lives at home through medical equipment and services is genuine healthcare-focused but reads more as an operational description than a Just Cause (1 point). The company exists to distribute HME efficiently — a worthwhile function but not a vision of a future state so compelling people sacrifice to advance 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Glassdoor rating of 3.3/5 with recurring complaints about overwork, understaffing, and leadership integrity is concerning [2]. However, CEO Suzanne Foster (appointed May 2024) brings Danaher system management experience and has stabilized leadership after prior turmoil. The appointment of a new COO in August 2024 suggests organizational restructuring — adequate but not high-trust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AdaptHealth's competitive language focuses on consolidation and market share gains through M&amp;A rather than learning from rivals. The capitated care contract is framed as a competitive win rather than a learning opportunity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from acquisition-driven growth to capitated care models and organic growth under Foster represents meaningful strategic evolution. The capitated contract covering ~50,000 members that could scale to &gt;10 million patients is a new business model for AHCO — not transformative but adaptive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Foster has made courageous early moves — taking an early go-live on the massive capitated contract despite short-term disruption, and pivoting from M&amp;A growth to operational efficiency. However, the company's recent net loss and EBITDA decline suggest the transformation is still early and unproven (1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AdaptHealth trades at an attractive 10.4x forward P/E with a new CEO executing a strategic pivot from M&amp;A-driven growth to operational efficiency and capitated care models. FY2026 guidance of $3.44-3.51B revenue (6-8% growth) and $680-730M EBITDA represents meaningful improvement from the FY2025 trough of $616.7M EBITDA [1]. The capitated contract covering ~50,000 members in three Mid-Atlantic states — scalable to &gt;10M patients — could fundamentally reshape the business model toward recurring, predictable revenue. Significant insider buying ($24.4M by OEP VII and multiple executives in early 2026) signals conviction at current prices [4]. The stock has rallied from $7.95 to $13.08, but at 1.2x forward EBITDA, it remains deeply discounted to healthcare peers.</w:t>
      </w:r>
    </w:p>
    <w:p>
      <w:pPr>
        <w:spacing w:after="120"/>
      </w:pPr>
      <w:r>
        <w:rPr>
          <w:rFonts w:ascii="Calibri" w:hAnsi="Calibri"/>
          <w:b w:val="0"/>
          <w:color w:val="3A4A28"/>
          <w:sz w:val="20"/>
        </w:rPr>
        <w:t>The bear case centers on execution risk and financial fragility. AdaptHealth posted a $70.8M net loss in FY2025 vs. $90.4M income in 2024, driven by Adjusted EBITDA declining 10.5% to $616.7M [1]. D/E of 124.7% constrains financial flexibility during a transformation period. The company remains dependent on Medicare/Medicaid reimbursement rates, which face ongoing political pressure. CEO Foster has been in the role less than two years, and the cultural challenges (3.3 Glassdoor rating, complaints about overwork and understaffing) could undermine the operational improvements she is targeting [2]. Revenue growth has been essentially flat (-0.5% YoY), and the capitated care model is unproven at scale. Negative profit margins must turn positive for the turnaround thesis to 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Capitated care contract scaling from 50,000 members to potentially 10M+ patients, driving 5-6% organic growth in 2026 and establishing a recurring revenue model [1]</w:t>
      </w:r>
    </w:p>
    <w:p>
      <w:pPr>
        <w:spacing w:before="40" w:after="40"/>
        <w:ind w:left="283"/>
      </w:pPr>
      <w:r>
        <w:rPr>
          <w:rFonts w:ascii="Calibri" w:hAnsi="Calibri"/>
          <w:b/>
          <w:color w:val="4A6B25"/>
          <w:sz w:val="20"/>
        </w:rPr>
        <w:t xml:space="preserve">2. </w:t>
      </w:r>
      <w:r>
        <w:rPr>
          <w:rFonts w:ascii="Calibri" w:hAnsi="Calibri"/>
          <w:b w:val="0"/>
          <w:color w:val="3A4A28"/>
          <w:sz w:val="20"/>
        </w:rPr>
        <w:t>Operational efficiency improvements under CEO Foster including AI-powered self-scheduling and automation, targeting EBITDA recovery to $680-730M in FY2026 [1][2]</w:t>
      </w:r>
    </w:p>
    <w:p>
      <w:pPr>
        <w:spacing w:before="40" w:after="40"/>
        <w:ind w:left="283"/>
      </w:pPr>
      <w:r>
        <w:rPr>
          <w:rFonts w:ascii="Calibri" w:hAnsi="Calibri"/>
          <w:b/>
          <w:color w:val="4A6B25"/>
          <w:sz w:val="20"/>
        </w:rPr>
        <w:t xml:space="preserve">3. </w:t>
      </w:r>
      <w:r>
        <w:rPr>
          <w:rFonts w:ascii="Calibri" w:hAnsi="Calibri"/>
          <w:b w:val="0"/>
          <w:color w:val="3A4A28"/>
          <w:sz w:val="20"/>
        </w:rPr>
        <w:t>Potential return to profitability as cost restructuring and revenue growth converge — forward EPS of $1.26 implies a dramatic earnings inflection from FY2025 losses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Medicare/Medicaid reimbursement rate pressure — federal budget constraints could reduce payment rates for HME, directly compressing margins on the majority of revenue [1]</w:t>
      </w:r>
    </w:p>
    <w:p>
      <w:pPr>
        <w:spacing w:before="40" w:after="40"/>
        <w:ind w:left="283"/>
      </w:pPr>
      <w:r>
        <w:rPr>
          <w:rFonts w:ascii="Calibri" w:hAnsi="Calibri"/>
          <w:b/>
          <w:color w:val="4A6B25"/>
          <w:sz w:val="20"/>
        </w:rPr>
        <w:t xml:space="preserve">2. </w:t>
      </w:r>
      <w:r>
        <w:rPr>
          <w:rFonts w:ascii="Calibri" w:hAnsi="Calibri"/>
          <w:b w:val="0"/>
          <w:color w:val="3A4A28"/>
          <w:sz w:val="20"/>
        </w:rPr>
        <w:t>Execution risk on the capitated care model — this is an unproven business model for AdaptHealth and early go-live disruptions could impact near-term results while the model matures [1]</w:t>
      </w:r>
    </w:p>
    <w:p>
      <w:pPr>
        <w:spacing w:before="40" w:after="40"/>
        <w:ind w:left="283"/>
      </w:pPr>
      <w:r>
        <w:rPr>
          <w:rFonts w:ascii="Calibri" w:hAnsi="Calibri"/>
          <w:b/>
          <w:color w:val="4A6B25"/>
          <w:sz w:val="20"/>
        </w:rPr>
        <w:t xml:space="preserve">3. </w:t>
      </w:r>
      <w:r>
        <w:rPr>
          <w:rFonts w:ascii="Calibri" w:hAnsi="Calibri"/>
          <w:b w:val="0"/>
          <w:color w:val="3A4A28"/>
          <w:sz w:val="20"/>
        </w:rPr>
        <w:t>Leverage and liquidity concerns — D/E of 124.7% with negative net income limits financial flexibility if the turnaround stalls or macro conditions deteriorate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AdaptHealth's core business involves physical distribution of medical equipment (CPAP machines, oxygen concentrators, wheelchairs, insulin pumps) and in-home patient setup/support — these physical-world operations with regulatory requirements (Medicare/Medicaid compliance, prescription verification, equipment fitting) are structurally immune to AI substitution [1]. The home healthcare services segment requires hands-on patient interaction that AI cannot replace. Reimbursement complexity and payer relationships create additional moats. AI Opportunity (1/1): The company is actively deploying AI for operational efficiency — AI-powered self-scheduling for CPAP setups, automated patient interactions via MyApp, and process automation are generating measurable cost savings and improving patient experience [2]. AI enhances rather than threatens the distribution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AdaptHealth Corp. Q4 and Full-Year 2025 Earnings Release — $3.24B revenue, $616.7M EBITDA, FY2026 guidance, February 24, 2026</w:t>
      </w:r>
    </w:p>
    <w:p>
      <w:pPr>
        <w:spacing w:before="20" w:after="20"/>
        <w:ind w:left="170"/>
      </w:pPr>
      <w:r>
        <w:rPr>
          <w:rFonts w:ascii="Calibri" w:hAnsi="Calibri"/>
          <w:b/>
          <w:color w:val="4A6B25"/>
          <w:sz w:val="15"/>
        </w:rPr>
        <w:t xml:space="preserve">2. </w:t>
      </w:r>
      <w:r>
        <w:rPr>
          <w:rFonts w:ascii="Calibri" w:hAnsi="Calibri"/>
          <w:b w:val="0"/>
          <w:color w:val="3A4A28"/>
          <w:sz w:val="17"/>
        </w:rPr>
        <w:t>AdaptHealth CEO Suzanne Foster commentary on AI deployment, operational initiatives, and capitated care strategy — HME Business, Q4 2025 earnings call</w:t>
      </w:r>
    </w:p>
    <w:p>
      <w:pPr>
        <w:spacing w:before="20" w:after="20"/>
        <w:ind w:left="170"/>
      </w:pPr>
      <w:r>
        <w:rPr>
          <w:rFonts w:ascii="Calibri" w:hAnsi="Calibri"/>
          <w:b/>
          <w:color w:val="4A6B25"/>
          <w:sz w:val="15"/>
        </w:rPr>
        <w:t xml:space="preserve">3. </w:t>
      </w:r>
      <w:r>
        <w:rPr>
          <w:rFonts w:ascii="Calibri" w:hAnsi="Calibri"/>
          <w:b w:val="0"/>
          <w:color w:val="3A4A28"/>
          <w:sz w:val="17"/>
        </w:rPr>
        <w:t>AdaptHealth Corp. ESG Overview and corporate mission — adapthealth.com,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AHCO insider transactions data, OEP VII and executive purchases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AHCO key statistics and financial data,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