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AHR</w:t>
      </w:r>
      <w:r>
        <w:rPr>
          <w:rFonts w:ascii="Calibri" w:hAnsi="Calibri"/>
          <w:b/>
          <w:color w:val="1A2010"/>
          <w:sz w:val="40"/>
        </w:rPr>
        <w:t xml:space="preserve">  American Healthcare REIT, Inc.</w:t>
      </w:r>
    </w:p>
    <w:p>
      <w:pPr>
        <w:spacing w:after="120"/>
      </w:pPr>
      <w:r>
        <w:rPr>
          <w:rFonts w:ascii="Calibri" w:hAnsi="Calibri"/>
          <w:b/>
          <w:color w:val="6E8450"/>
          <w:sz w:val="18"/>
        </w:rPr>
        <w:t>GROWTH SLEEVE · 2026-04-11 · Inspire: 16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American Healthcare REIT is a self-managed REIT that owns and operates a diversified portfolio of clinical healthcare real estate across the U.S., U.K., and the Isle of Man. The portfolio includes senior housing (operated under the RIDEA structure), skilled nursing facilities, outpatient medical buildings, and other healthcare properties. The company IPO'd on the NYSE in February 2024.</w:t>
      </w:r>
    </w:p>
    <w:p>
      <w:r>
        <w:rPr>
          <w:rFonts w:ascii="Calibri" w:hAnsi="Calibri"/>
          <w:b/>
          <w:color w:val="6E8450"/>
          <w:sz w:val="18"/>
        </w:rPr>
        <w:t>121 Employees · https://www.americanhealthcarereit.com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Innovation Track Record: 1 pt — AHR completed its IPO in February 2024, transitioning from a non-traded REIT to a NYSE-listed entity, which was a significant corporate transformation enabling access to public capital markets [1][2]. However, the core business model of owning and operating healthcare real estate has not meaningfully changed. (2) AI Deployment: 0 pts — no evidence of AI-powered products, AI-driven property management efficiencies, or AI deployment in healthcare facility operations [3]. (3) Market Share Leadership: 1 pt — AHR operates a diversified portfolio of healthcare properties with $2.26B in revenue and a $9.4B market cap, making it a meaningful player in healthcare REITs, though it is not the category leader (behind Welltower, Ventas, and Healthpeak) [1][4]. (4) Product Pipeline: 1 pt — the $1.75B ATM equity offering program and expanded $1.35B credit facility provide acquisition firepower for portfolio growth, and management has guided for 7-11% same-store NOI growth in 2026 [1][5]. (5) R&amp;D Intensity: 0 pts — REITs do not conduct traditional R&amp;D; capital allocation goes to property acquisition and development rather than research. Total: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 pts — AHR's focus on clinical healthcare real estate for senior housing, skilled nursing, and outpatient medical facilities connects to a meaningful social need (aging population healthcare access), but the company does not articulate a distinctive mission beyond operational excellence in healthcare property management [6]. Community &amp; Charitable Impact: 0 pts — no evidence of charitable programs or community investment beyond the inherent social value of maintaining healthcare facilities. Employee Retention: 1 pt — Glassdoor reviews describe C-suite leadership as approachable and integrity-driven, with management emphasizing resident care as a priority [3]. The small team of 121 employees suggests a lean, cohesive organization, though limited data exists. Insider Buying: 0 pts — no evidence of meaningful net insider buying; CEO Danny Prosky's medical leave of absence as of February 2026 creates leadership uncertainty [7]. Total: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calculated mechanically from available financial metrics. Note that REIT financial characteristics (low profit margins, low GAAP ROE, high P/E due to depreciation) inherently disadvantage REITs in this framework. D/E of 50.2% scores 1.0 (well below 70% target). ROE of 2.5% scores 0.17 (far below 15% target but positive). Revenue Growth YoY of 11.9% scores 1.0 (exceeds 10% target). Forward P/E of 50.4x scores 0.24 (near the 60x floor — REITs typically trade at high P/E due to GAAP depreciation charges). Profit Margin of 3.1% scores 0.15 (typical for REITs where FFO not net income is the relevant metric). PEG and 5yr Revenue CAGR unavailable, excluded. Weighted sum: 1×1.0 + 2×0.17 + 1×1.0 + 1×0.24 + 1×0.15 = 2.73 over max 6.0 = 4.5/10, rounded to 5 [4]. Liquidity passes at $145M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American Healthcare REIT is a relatively new public company (IPO February 2024) that has not had time to demonstrate infinite-game characteristics. The company operates in a socially valuable space (healthcare real estate for aging populations) but lacks a distinctive Just Cause beyond property management. CEO Danny Prosky's medical leave of absence since February 2026 creates near-term leadership uncertainty [7]. The company's aggressive capital raising ($1.75B ATM, expanded credit facility) suggests a growth-at-all-costs mentality typical of newly public REITs seeking scale.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 pt — AHR's focus on healthcare real estate for senior housing and skilled nursing connects to a genuine societal need, and the company emphasizes quality of resident care in its communications [3][6]. However, there is no articulated Just Cause beyond 'own and operate healthcare properties' — the purpose is functional, not transformative. As a company that IPO'd in 2024, it has no track record of maintaining a consistent cause through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 pt — Glassdoor reviews describe C-suite leadership as approachable and integrity-driven, with decisions rooted in 'doing the right thing' and prioritizing resident care [3]. The small corporate team of 121 employees suggests a lean, closely-knit organization. However, CEO Danny Prosky's indefinite medical leave since February 2026 introduces organizational uncertainty, and limited public data exists on broader workforce culture across operated facilities [7].</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 pts — AHR competes against larger healthcare REITs including Welltower (WELL), Ventas (VTR), and Healthpeak (DOC). No evidence that management frames these competitors as worthy rivals from whom they learn. The competitive discussion focuses on acquisition pipeline and market share positioning rather than self-improvement driven by rival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 pt — The transition from non-traded REIT to NYSE-listed entity in February 2024 was a meaningful corporate transformation that opened access to public capital markets and enabled the $1.75B ATM program [1][2]. The company has diversified its portfolio across senior housing, skilled nursing, and outpatient medical, showing willingness to evolve. However, these are incremental adaptations within the same asset class,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 pt — IPO'ing at $12/share at the lower end of the marketed range in February 2024 during challenging REIT market conditions, then executing a $1.75B ATM program and expanding the credit facility to $1.35B demonstrates capital-raising courage in service of long-term portfolio growth [1][2][5]. The interim CEO transition has been handled smoothly with Chairman Jeffrey Hanson stepping in, suggesting contingency planning.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Healthcare REIT delivered strong 2025 results with 14.2% same-store NOI growth and $2.26B in total revenue, with 2026 guidance for 7-11% continued same-store NOI growth and NFFO of $1.99-$2.05 per share [1]. The company is well-positioned to benefit from the secular aging demographic trend driving demand for senior housing and skilled nursing facilities. The recently expanded $1.35B credit facility and $1.75B ATM program provide substantial acquisition firepower, and the D/E ratio of 50.2% reflects a conservatively leveraged balance sheet for a REIT [4][5]. At $49.23, AHR has appreciated significantly from its $12 IPO price in February 2024.</w:t>
      </w:r>
    </w:p>
    <w:p>
      <w:pPr>
        <w:spacing w:after="120"/>
      </w:pPr>
      <w:r>
        <w:rPr>
          <w:rFonts w:ascii="Calibri" w:hAnsi="Calibri"/>
          <w:b w:val="0"/>
          <w:color w:val="3A4A28"/>
          <w:sz w:val="20"/>
        </w:rPr>
        <w:t>The bear case centers on valuation and leadership risk. The forward P/E of 50.4x (even considering REIT depreciation effects) and trailing P/E of 117x suggest the stock is pricing in substantial future growth that may not materialize if NOI growth decelerates from 14.2% to the lower end of 7-11% guidance [1]. CEO Danny Prosky's indefinite medical leave since February 2026 creates a leadership vacuum at a critical growth phase [7]. The payout ratio of 238% (GAAP basis) indicates the dividend is not covered by net income, though REIT dividends are evaluated against FFO. The $1.75B ATM program creates dilution risk for existing shareholders, and the company's short public track record (IPO'd February 2024) means there is limited data on management's capital allocation discipline across full market cycles. Investor lawsuits from the non-traded REIT era also remain a reputational concern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aging demographic — 10,000+ baby boomers turning 65 daily creates sustained demand for senior housing and skilled nursing facilities, supporting occupancy rates and rental growth across the portfolio</w:t>
      </w:r>
    </w:p>
    <w:p>
      <w:pPr>
        <w:spacing w:before="40" w:after="40"/>
        <w:ind w:left="283"/>
      </w:pPr>
      <w:r>
        <w:rPr>
          <w:rFonts w:ascii="Calibri" w:hAnsi="Calibri"/>
          <w:b/>
          <w:color w:val="4A6B25"/>
          <w:sz w:val="20"/>
        </w:rPr>
        <w:t xml:space="preserve">2. </w:t>
      </w:r>
      <w:r>
        <w:rPr>
          <w:rFonts w:ascii="Calibri" w:hAnsi="Calibri"/>
          <w:b w:val="0"/>
          <w:color w:val="3A4A28"/>
          <w:sz w:val="20"/>
        </w:rPr>
        <w:t>Same-store NOI growth guidance of 7-11% for 2026 driven by occupancy improvements and rate increases, with $1.75B ATM program and $1.35B credit facility providing firepower for accretive acquisitions</w:t>
      </w:r>
    </w:p>
    <w:p>
      <w:pPr>
        <w:spacing w:before="40" w:after="40"/>
        <w:ind w:left="283"/>
      </w:pPr>
      <w:r>
        <w:rPr>
          <w:rFonts w:ascii="Calibri" w:hAnsi="Calibri"/>
          <w:b/>
          <w:color w:val="4A6B25"/>
          <w:sz w:val="20"/>
        </w:rPr>
        <w:t xml:space="preserve">3. </w:t>
      </w:r>
      <w:r>
        <w:rPr>
          <w:rFonts w:ascii="Calibri" w:hAnsi="Calibri"/>
          <w:b w:val="0"/>
          <w:color w:val="3A4A28"/>
          <w:sz w:val="20"/>
        </w:rPr>
        <w:t>Healthcare REIT sector rerating as interest rate environment stabilizes and investors recognize the essential-nature of clinical healthcare real estate with inflation-linked lease structures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Danny Prosky's indefinite medical leave since February 2026 creates leadership uncertainty at a critical growth phase — extended absence could impair acquisition strategy and organizational momentum</w:t>
      </w:r>
    </w:p>
    <w:p>
      <w:pPr>
        <w:spacing w:before="40" w:after="40"/>
        <w:ind w:left="283"/>
      </w:pPr>
      <w:r>
        <w:rPr>
          <w:rFonts w:ascii="Calibri" w:hAnsi="Calibri"/>
          <w:b/>
          <w:color w:val="4A6B25"/>
          <w:sz w:val="20"/>
        </w:rPr>
        <w:t xml:space="preserve">2. </w:t>
      </w:r>
      <w:r>
        <w:rPr>
          <w:rFonts w:ascii="Calibri" w:hAnsi="Calibri"/>
          <w:b w:val="0"/>
          <w:color w:val="3A4A28"/>
          <w:sz w:val="20"/>
        </w:rPr>
        <w:t>Forward P/E of 50.4x and payout ratio of 238% (GAAP) suggest the stock is richly valued and the dividend is dependent on FFO exceeding GAAP earnings; any operational shortfall could pressure both the dividend and stock price</w:t>
      </w:r>
    </w:p>
    <w:p>
      <w:pPr>
        <w:spacing w:before="40" w:after="40"/>
        <w:ind w:left="283"/>
      </w:pPr>
      <w:r>
        <w:rPr>
          <w:rFonts w:ascii="Calibri" w:hAnsi="Calibri"/>
          <w:b/>
          <w:color w:val="4A6B25"/>
          <w:sz w:val="20"/>
        </w:rPr>
        <w:t xml:space="preserve">3. </w:t>
      </w:r>
      <w:r>
        <w:rPr>
          <w:rFonts w:ascii="Calibri" w:hAnsi="Calibri"/>
          <w:b w:val="0"/>
          <w:color w:val="3A4A28"/>
          <w:sz w:val="20"/>
        </w:rPr>
        <w:t>The $1.75B ATM equity program creates significant share dilution risk — aggressive equity issuance at current prices could dilute existing shareholders if acquired properties do not generate accretive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 pts — American Healthcare REIT owns physical healthcare real estate: senior housing communities, skilled nursing facilities, and outpatient medical buildings. AI structurally cannot replace physical buildings, the hands-on care provided in senior living facilities, or the clinical spaces needed for outpatient medicine [6]. The aging U.S. population (10,000 baby boomers turning 65 daily) creates secular demand for healthcare facilities that AI may actually increase, as improved diagnostics and chronic disease management extend lifespans and increase utilization of healthcare real estate. AI-driven healthcare innovation requires physical clinical spaces to deliver care. AI Opportunity: 0 pts — AHR does not generate AI-related revenue. Total: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16</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Healthcare REIT Q4 2025 and Full Year 2025 Results with 2026 Guidance,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American Healthcare REIT IPO details — $12/share, February 2024, Simply Wall St analysis</w:t>
      </w:r>
    </w:p>
    <w:p>
      <w:pPr>
        <w:spacing w:before="20" w:after="20"/>
        <w:ind w:left="170"/>
      </w:pPr>
      <w:r>
        <w:rPr>
          <w:rFonts w:ascii="Calibri" w:hAnsi="Calibri"/>
          <w:b/>
          <w:color w:val="4A6B25"/>
          <w:sz w:val="15"/>
        </w:rPr>
        <w:t xml:space="preserve">3. </w:t>
      </w:r>
      <w:r>
        <w:rPr>
          <w:rFonts w:ascii="Calibri" w:hAnsi="Calibri"/>
          <w:b w:val="0"/>
          <w:color w:val="3A4A28"/>
          <w:sz w:val="17"/>
        </w:rPr>
        <w:t>Glassdoor — American Healthcare REIT employee reviews, leadership and culture assessment,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AHR key statistics,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American Healthcare REIT credit facility amendment and $1.35B expansion, Investing.com, March 2026</w:t>
      </w:r>
    </w:p>
    <w:p>
      <w:pPr>
        <w:spacing w:before="20" w:after="20"/>
        <w:ind w:left="170"/>
      </w:pPr>
      <w:r>
        <w:rPr>
          <w:rFonts w:ascii="Calibri" w:hAnsi="Calibri"/>
          <w:b/>
          <w:color w:val="4A6B25"/>
          <w:sz w:val="15"/>
        </w:rPr>
        <w:t xml:space="preserve">6. </w:t>
      </w:r>
      <w:r>
        <w:rPr>
          <w:rFonts w:ascii="Calibri" w:hAnsi="Calibri"/>
          <w:b w:val="0"/>
          <w:color w:val="3A4A28"/>
          <w:sz w:val="17"/>
        </w:rPr>
        <w:t>American Healthcare REIT corporate website — americanhealthcarereit.com,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American Healthcare REIT CEO medical leave of absence announcement, PR Newswire, February 2026</w:t>
      </w:r>
    </w:p>
    <w:p>
      <w:pPr>
        <w:spacing w:before="20" w:after="20"/>
        <w:ind w:left="170"/>
      </w:pPr>
      <w:r>
        <w:rPr>
          <w:rFonts w:ascii="Calibri" w:hAnsi="Calibri"/>
          <w:b/>
          <w:color w:val="4A6B25"/>
          <w:sz w:val="15"/>
        </w:rPr>
        <w:t xml:space="preserve">8. </w:t>
      </w:r>
      <w:r>
        <w:rPr>
          <w:rFonts w:ascii="Calibri" w:hAnsi="Calibri"/>
          <w:b w:val="0"/>
          <w:color w:val="3A4A28"/>
          <w:sz w:val="17"/>
        </w:rPr>
        <w:t>KlaymanToskes — American Healthcare REIT investor loss investigation, non-traded REIT era concerns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