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AIG</w:t>
      </w:r>
      <w:r>
        <w:rPr>
          <w:rFonts w:ascii="Calibri" w:hAnsi="Calibri"/>
          <w:b/>
          <w:color w:val="1A2010"/>
          <w:sz w:val="40"/>
        </w:rPr>
        <w:t xml:space="preserve">  American International Group, Inc.</w:t>
      </w:r>
    </w:p>
    <w:p>
      <w:pPr>
        <w:spacing w:after="120"/>
      </w:pPr>
      <w:r>
        <w:rPr>
          <w:rFonts w:ascii="Calibri" w:hAnsi="Calibri"/>
          <w:b/>
          <w:color w:val="6E8450"/>
          <w:sz w:val="18"/>
        </w:rPr>
        <w:t>DIVIDEND SLEEVE · 2026-04-01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American International Group provides commercial, institutional, and individual insurance products globally across property, casualty, specialty, and personal lines. Following the Corebridge Financial separation, AIG is focused on commercial and specialty insurance with operations in North America and internationally. Founded in 1919, headquartered in New York.</w:t>
      </w:r>
    </w:p>
    <w:p>
      <w:r>
        <w:rPr>
          <w:rFonts w:ascii="Calibri" w:hAnsi="Calibri"/>
          <w:b/>
          <w:color w:val="6E8450"/>
          <w:sz w:val="18"/>
        </w:rPr>
        <w:t>22,100 Employees · https://www.aig.com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AIG executed the transformative Corebridge Financial separation, completed the AIG Next operational transformation delivering $500M+ in annual run-rate expense savings, and formed the innovative Syndicate 2479 partnership with Blackstone and Amwins for E&amp;S business [1]. These represent significant structural changes in the past 3 years. AI Deployment (2/2): AIG partnered with Anthropic and Palantir to integrate AI into core underwriting and claims processes. AI tools now review 100% of financial lines submissions without adding underwriters, and the company aims to book $4B+ in new E&amp;S premiums by 2030 through AI-enhanced underwriting of 500,000+ submissions [2]. Chief Digital Officer Scott Hallworth hired specifically for GenAI strategy. Market Share (1/2): AIG remains a major global commercial insurer but is not gaining share — revenue declined 7.2% YoY as the company exits non-core lines and shrinks post-Corebridge [1][4]. Pipeline (1/2): Syndicate 2479, CVC secondaries platform investment, and Convex/Onex minority stakes represent strategic growth initiatives, but specific revenue timelines are vague [1]. R&amp;D Intensity (0/1): Traditional insurance company with no meaningful R&amp;D spend relative to tech peers; innovation comes through partnerships (Anthropic, Palantir) rather than internal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AIG's stated purpose focuses on providing insurance solutions and protecting clients — generic and interchangeable with any major insurer. No distinctive vision of a future state beyond profitable growth and operational excellence [2]. Community Impact (1/2): AIG earned a 100% rating on the Human Rights Campaign Corporate Equality Index for 10 consecutive years, and reports diversity metrics (52% female placements globally, 45% ethnically diverse US placements in 2021), but no specific charitable foundation or dollar amounts for community investment cited [3]. Employee Retention (0/2): Glassdoor reviews describe AIG as 'a relic stuck in a cycle of reorgs and burnout' with a 'perpetual identity crisis.' Executive team rated C- on Comparably (bottom 30% of companies with 10,000+ employees). CEO transition pressure and constant restructuring cited [2]. Insider Buying (0/2): CEO Zaffino announced intent to transition to Executive Chair and retire as CEO by mid-2026. No evidence of meaningful insider buying; leadership transition suggests exit, not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AIG's post-transformation financials are solid for a diversified insurer. D/E of 24.4% is conservative with $12.4B cash against $10B debt [4]. Forward P/E of 8.5x is deeply discounted, reflecting market skepticism despite improving fundamentals. Profit margin of 11.6% and ROE of 7.4% are modest but improving — management targets 10%+ core operating ROE achieved in 2025 [1]. Revenue declined 7.2% YoY ($26.8B) due to Corebridge separation and portfolio optimization, masking underlying premium growth (low-to-mid teens NPW growth guided for 2026) [1]. Payout ratio of 32.2% is conservative with 12.5% dividend increase and 10%+ annual dividend growth commitment. At least $1B in 2026 share repurchases committed [1]. Liquidity floor easily cleared: 4.86M avg vol × $75.25 = $366M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AIG operates with a predominantly finite mindset — optimizing for quarterly earnings, executing serial restructurings, and managing constant leadership transitions. While the Corebridge separation and AI partnerships show strategic evolution, the company's culture of perpetual reorgs, low employee trust, and generic corporate purpose signal a company playing to survive each quarter rather than building for the next century.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AIG's purpose — providing insurance solutions and protecting clients — is generic and interchangeable with any major insurer. There is no articulated vision of a future state beyond profitable growth. CEO Zaffino's leadership focuses on operational transformation and capital efficiency, which are laudable but finite game objectives. The company's 107-year history provides institutional continuity but not a distinctive Just Cause [2]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AIG's employee culture is deeply problematic. Glassdoor reviews describe perpetual reorgs, burnout, and a bureaucratic nightmare where innovation is 'smothered by red tape' [2]. The executive team is rated C- on Comparably (bottom 30% of 10,000+ employee companies). CEO transition to Executive Chair by mid-2026 adds leadership uncertainty. The contrast between AIG's public 'AI-First' messaging and employees' daily experience suggests a significant say-do gap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AIG acknowledging competitors' strengths or adopting an infinite competitive mindset. The company's positioning focuses on operational superiority and AI adoption rather than learning from rivals. CEO Zaffino's commentary emphasizes AIG's own transformation narrative without referencing what competitors do better [2]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AIG has shown meaningful strategic flexibility — the Corebridge Financial separation fundamentally reshaped the company from a sprawling conglomerate to a focused commercial insurer. The Syndicate 2479 partnership with Blackstone/Amwins and AI partnerships with Anthropic/Palantir represent genuine business model evolution [1][2]. However, these pivots were driven by financial pressure and activist investor demands rather than a Just Cause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Corebridge separation was a courageous decision — divesting a major, profitable business unit to focus AIG on commercial insurance. The AIG Next transformation delivering $500M+ in savings required difficult decisions including workforce reductions [1]. Zaffino's public commitment to 20%+ EPS CAGR and 10%+ dividend growth is a bold target. However, the constant restructuring suggests reactive management rather than proactive cause-driven leadership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AIG is a transformed commercial insurer trading at a deep discount — 8.5x forward P/E with 20%+ EPS CAGR guidance over the next three years, driven by the completed AIG Next transformation ($500M+ annual savings), AI-powered underwriting partnerships with Anthropic and Palantir, and aggressive capital return ($1B+ 2026 buybacks plus 12.5% dividend increase) [1][2]. Q4 2025 underwriting income surged 48% YoY to $670M, and core operating ROE hit the 10%+ target. The Syndicate 2479 partnership with Blackstone and strategic investments in Convex/Onex/CVC provide optionality. At $40.6B market cap, AIG trades at a significant discount to peers despite improving fundamentals and management's commitment to replace Corebridge earnings by 2026 [1].</w:t>
      </w:r>
    </w:p>
    <w:p>
      <w:pPr>
        <w:spacing w:after="120"/>
      </w:pPr>
      <w:r>
        <w:rPr>
          <w:rFonts w:ascii="Calibri" w:hAnsi="Calibri"/>
          <w:b w:val="0"/>
          <w:color w:val="3A4A28"/>
          <w:sz w:val="20"/>
        </w:rPr>
        <w:t>The bear case centers on execution risk and cultural dysfunction. Revenue declined 7.2% YoY as Corebridge separation and portfolio pruning shrink the top line, and replacing that lost revenue organically is uncertain [1][4]. ROE of 7.4% remains below peer averages despite the 10%+ target. Glassdoor reviews paint a picture of perpetual reorganizations, burnout, and bureaucratic paralysis — the C- Comparably executive rating suggests deep cultural problems that AI tools alone cannot fix [2]. CEO Zaffino's planned mid-2026 retirement creates leadership transition risk at a critical moment. AIG remains a top global oil and gas insurer, earning $475-625M from fossil fuel premiums, creating ESG and regulatory risk as climate policies tighten [3]. The legacy of the 2008 financial crisis still weighs on brand perception and investor trust. Catastrophe risk concentration in an era of increasing climate-related losses could impair underwriting results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underwriting scaling — Anthropic/Palantir partnership targeting $4B+ in new E&amp;S premiums from 500,000+ submissions, potentially transforming underwriting productivity [2]</w:t>
      </w:r>
    </w:p>
    <w:p>
      <w:pPr>
        <w:spacing w:before="40" w:after="40"/>
        <w:ind w:left="283"/>
      </w:pPr>
      <w:r>
        <w:rPr>
          <w:rFonts w:ascii="Calibri" w:hAnsi="Calibri"/>
          <w:b/>
          <w:color w:val="4A6B25"/>
          <w:sz w:val="20"/>
        </w:rPr>
        <w:t xml:space="preserve">2. </w:t>
      </w:r>
      <w:r>
        <w:rPr>
          <w:rFonts w:ascii="Calibri" w:hAnsi="Calibri"/>
          <w:b w:val="0"/>
          <w:color w:val="3A4A28"/>
          <w:sz w:val="20"/>
        </w:rPr>
        <w:t>Capital return acceleration — $1B+ 2026 share repurchases plus 10%+ annual dividend growth commitment at 8.5x forward P/E [1]</w:t>
      </w:r>
    </w:p>
    <w:p>
      <w:pPr>
        <w:spacing w:before="40" w:after="40"/>
        <w:ind w:left="283"/>
      </w:pPr>
      <w:r>
        <w:rPr>
          <w:rFonts w:ascii="Calibri" w:hAnsi="Calibri"/>
          <w:b/>
          <w:color w:val="4A6B25"/>
          <w:sz w:val="20"/>
        </w:rPr>
        <w:t xml:space="preserve">3. </w:t>
      </w:r>
      <w:r>
        <w:rPr>
          <w:rFonts w:ascii="Calibri" w:hAnsi="Calibri"/>
          <w:b w:val="0"/>
          <w:color w:val="3A4A28"/>
          <w:sz w:val="20"/>
        </w:rPr>
        <w:t>Corebridge earnings replacement — low-to-mid teens NPW growth guided for 2026 with Syndicate 2479, Convex, and Onex investments contributing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 Peter Zaffino's planned mid-2026 retirement as CEO creates leadership vacuum during critical transformation phase [2]</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 perpetual reorgs, employee burnout, and C- executive rating on Comparably may impair ability to execute AI transformation and retain talent [2]</w:t>
      </w:r>
    </w:p>
    <w:p>
      <w:pPr>
        <w:spacing w:before="40" w:after="40"/>
        <w:ind w:left="283"/>
      </w:pPr>
      <w:r>
        <w:rPr>
          <w:rFonts w:ascii="Calibri" w:hAnsi="Calibri"/>
          <w:b/>
          <w:color w:val="4A6B25"/>
          <w:sz w:val="20"/>
        </w:rPr>
        <w:t xml:space="preserve">3. </w:t>
      </w:r>
      <w:r>
        <w:rPr>
          <w:rFonts w:ascii="Calibri" w:hAnsi="Calibri"/>
          <w:b w:val="0"/>
          <w:color w:val="3A4A28"/>
          <w:sz w:val="20"/>
        </w:rPr>
        <w:t>Fossil fuel exposure — $475-625M in annual oil and gas premiums creates ESG regulatory risk as climate policies tighten and institutional investors apply pressure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is a deeply regulated, capital-intensive industry with physical-world loss exposure that AI cannot eliminate — catastrophe risk, liability claims, and regulatory compliance require human judgment and institutional expertise. AIG's commercial and specialty lines involve complex, bespoke underwriting that resists pure automation [2]. However, InsurTech competitors and AI-powered underwriting platforms create meaningful disruption risk for traditional distribution and simple-lines underwriting. AI may compress margins on commoditized products while enhancing specialty capabilities. AI Opportunity (1/1): AIG generates direct operational value from AI — the Anthropic/Palantir partnership enables 100% review of financial lines submissions, targeting $4B+ in new E&amp;S premiums by 2030. CEO Zaffino calls AI integration central to AIG's strategy, with a dedicated Chief Digital Officer for GenAI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AIG Q4 2025 Earnings Release — 51% adjusted income growth, $670M underwriting income, $1B+ 2026 buyback commitment, February 2026</w:t>
      </w:r>
    </w:p>
    <w:p>
      <w:pPr>
        <w:spacing w:before="20" w:after="20"/>
        <w:ind w:left="170"/>
      </w:pPr>
      <w:r>
        <w:rPr>
          <w:rFonts w:ascii="Calibri" w:hAnsi="Calibri"/>
          <w:b/>
          <w:color w:val="4A6B25"/>
          <w:sz w:val="15"/>
        </w:rPr>
        <w:t xml:space="preserve">2. </w:t>
      </w:r>
      <w:r>
        <w:rPr>
          <w:rFonts w:ascii="Calibri" w:hAnsi="Calibri"/>
          <w:b w:val="0"/>
          <w:color w:val="3A4A28"/>
          <w:sz w:val="17"/>
        </w:rPr>
        <w:t>TIME, Risk &amp; Insurance, Carrier Management — Peter Zaffino interview, Anthropic/Palantir AI partnership, GenAI strategy, 2025-2026</w:t>
      </w:r>
    </w:p>
    <w:p>
      <w:pPr>
        <w:spacing w:before="20" w:after="20"/>
        <w:ind w:left="170"/>
      </w:pPr>
      <w:r>
        <w:rPr>
          <w:rFonts w:ascii="Calibri" w:hAnsi="Calibri"/>
          <w:b/>
          <w:color w:val="4A6B25"/>
          <w:sz w:val="15"/>
        </w:rPr>
        <w:t xml:space="preserve">3. </w:t>
      </w:r>
      <w:r>
        <w:rPr>
          <w:rFonts w:ascii="Calibri" w:hAnsi="Calibri"/>
          <w:b w:val="0"/>
          <w:color w:val="3A4A28"/>
          <w:sz w:val="17"/>
        </w:rPr>
        <w:t>Insure Our Future, AIG Sustainability Reports — fossil fuel exposure, climate transition plan, ESG criticism,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AIG,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