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AIM</w:t>
      </w:r>
      <w:r>
        <w:rPr>
          <w:rFonts w:ascii="Calibri" w:hAnsi="Calibri"/>
          <w:b/>
          <w:color w:val="1A2010"/>
          <w:sz w:val="40"/>
        </w:rPr>
        <w:t xml:space="preserve">  AIM ImmunoTech Inc.</w:t>
      </w:r>
    </w:p>
    <w:p>
      <w:pPr>
        <w:spacing w:after="120"/>
      </w:pPr>
      <w:r>
        <w:rPr>
          <w:rFonts w:ascii="Calibri" w:hAnsi="Calibri"/>
          <w:b/>
          <w:color w:val="6E8450"/>
          <w:sz w:val="18"/>
        </w:rPr>
        <w:t>GROWTH SLEEVE · 2026-04-01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NYSE American · United States</w:t>
      </w:r>
    </w:p>
    <w:p>
      <w:pPr>
        <w:spacing w:after="80"/>
      </w:pPr>
      <w:r>
        <w:rPr>
          <w:rFonts w:ascii="Calibri" w:hAnsi="Calibri"/>
          <w:b w:val="0"/>
          <w:color w:val="3A4A28"/>
          <w:sz w:val="20"/>
        </w:rPr>
        <w:t>AIM ImmunoTech Inc. is a clinical-stage immuno-pharma company focused on developing Ampligen (rintatolimod) for treatment of pancreatic cancer, other solid tumors, and immune-deficiency disorders. The company also markets Alferon N Injection for genital warts. Founded in 1966, AIM has been in perpetual clinical development with minimal commercial revenue.</w:t>
      </w:r>
    </w:p>
    <w:p>
      <w:r>
        <w:rPr>
          <w:rFonts w:ascii="Calibri" w:hAnsi="Calibri"/>
          <w:b/>
          <w:color w:val="6E8450"/>
          <w:sz w:val="18"/>
        </w:rPr>
        <w:t>23 Employees · https://aimimmuno.com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AIM has not successfully launched a new commercial product in the last 5 years; Ampligen has been in clinical development for decades without FDA approval, and the company remains pre-revenue with only $88K in TTM revenue [1]. AI Deployment (0/2): No evidence of AI deployment in drug discovery, clinical trial optimization, or operations [2]. Market Share (0/2): AIM is a micro-cap ($2.5M market cap) with negligible market presence in the oncology or immunotherapy space, competing against well-funded peers like Bristol-Myers Squibb and Merck [1]. Pipeline (1/2): The Phase 2 study evaluating Ampligen in combination with AstraZeneca's Imfinzi for pancreatic cancer showed positive interim results, and the PPD collaboration provides some pipeline credibility [1]. R&amp;D Intensity (1/1): As a clinical-stage biotech, essentially all spending is R&amp;D-focused, though at a very small absolute scale.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AIM's mission to develop therapeutics for cancers, viral diseases, and immune-deficiency disorders is clear and purposeful but not distinctive — it describes what the company does rather than articulating a transformative vision [2]. Community Impact (0/2): No evidence of charitable giving, community programs, or foundation activity for this 23-employee company [3]. Employee Retention (0/2): No retention data available; with only 23 employees and going concern warnings, retention is likely unstable [3]. Insider Buying (0/2): CEO Equels' compensation of $681K against the company's $2.5M market cap and negative shareholder equity raises alignment concerns; no evidence of meaningful insider buying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AIM's financial profile is among the weakest in the screened universe. Revenue is just $88K TTM (down 53.3% YoY), net loss of $14M on virtually no revenue, negative book value of -$3.19/share, and a stockholders' deficit of approximately $9.8M [1][3]. The company warned of substantial doubt about its ability to continue as a going concern and faces NYSE delisting if it cannot raise equity above $6M by June 2026 [3]. Current ratio of 0.53 indicates inability to cover short-term obligations. A 1-for-100 reverse stock split in 2025 temporarily addressed minimum price requirements. No meaningful financial metrics are calculable for scoring. Liquidity floor technically passes ($0.585 x 4.7M vol = $2.7M) but the stock is essentially uninvestable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AIM ImmunoTech has persisted for 60 years pursuing Ampligen approval, which superficially resembles infinite game patience but actually reflects an inability to achieve commercial viability. The company's serial proxy fights, going concern warnings, and reliance on dilutive financings suggest a company surviving quarter to quarter rather than building toward an enduring mission.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AIM's pursuit of cancer and immune-disorder treatments represents a genuine cause — curing disease is inherently purposeful. The 60-year commitment to developing Ampligen through countless setbacks shows dedication beyond quarterly optimization [2]. However, the cause has not been validated by commercial success, and the company's inability to bring a product to market after six decades raises questions about whether this is a just cause or organizational inertia.</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23 employees, a going concern warning, NYSE delisting risk, and protracted proxy fights with activist investors (including allegations of convicted insider trading by activist organizer Franz Tudor), the organizational environment appears highly unstable [3]. The management team has an average tenure of just 1.2 years, suggesting frequent leadership turnover.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AIM acknowledging competitive dynamics or learning from peers. The immuno-oncology space is dominated by companies with thousands of times more resources (BMS, Merck, AstraZeneca), and AIM does not position itself relative to these competitors in a constructive way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AIM has been pursuing essentially the same Ampligen compound for decades without significant strategic pivots. The company has not demonstrated willingness to abandon or fundamentally reimagine its approach despite consistent commercial failure [1]. The 2019 name change from Hemispherx Biopharma was cosmetic rather than strategic.</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courageous strategic bets or sacrificing short-term results for long-term capability. The company's approach has been to maintain the status quo through dilutive financings and rights offerings ($1.8M in latest rights sale) rather than making bold pivots [3]. The cash conservation plan announced reflects defensive survival rather than offensive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AIM ImmunoTech represents a speculative lottery ticket on Ampligen's clinical success. The Phase 2 pancreatic cancer trial with AstraZeneca's Imfinzi showed positive interim results, and the PPD collaboration adds credibility to the clinical program [1]. The stock trades at just $0.585 with a $2.5M market cap, meaning any positive clinical readout or partnership announcement could generate outsized percentage returns. The Inspire Insight score of 40 (ALIGNED) reflects the company's healthcare mission and ethical practices.</w:t>
      </w:r>
    </w:p>
    <w:p>
      <w:pPr>
        <w:spacing w:after="120"/>
      </w:pPr>
      <w:r>
        <w:rPr>
          <w:rFonts w:ascii="Calibri" w:hAnsi="Calibri"/>
          <w:b w:val="0"/>
          <w:color w:val="3A4A28"/>
          <w:sz w:val="20"/>
        </w:rPr>
        <w:t>The bear case is overwhelming: AIM has $88K in annual revenue, a $9.8M stockholders' deficit, going concern doubt, and faces NYSE delisting by June 2026 if it cannot raise equity above $6M [3]. The company has burned through capital for 60 years without bringing Ampligen to commercial approval. Net losses of $14M annually against negligible revenue create existential funding risk. The 1-for-100 reverse split in 2025 and serial dilutive financings have destroyed shareholder value — the stock is down 95% in the past year [1]. With a current ratio of 0.53 and only $3M in cash, the company may not survive to see its clinical trials complete. This is not an investment; it is a speculation with a high probability of total loss.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2 Ampligen/Imfinzi pancreatic cancer trial data readout could validate the drug's commercial potential after decades of development [1]</w:t>
      </w:r>
    </w:p>
    <w:p>
      <w:pPr>
        <w:spacing w:before="40" w:after="40"/>
        <w:ind w:left="283"/>
      </w:pPr>
      <w:r>
        <w:rPr>
          <w:rFonts w:ascii="Calibri" w:hAnsi="Calibri"/>
          <w:b/>
          <w:color w:val="4A6B25"/>
          <w:sz w:val="20"/>
        </w:rPr>
        <w:t xml:space="preserve">2. </w:t>
      </w:r>
      <w:r>
        <w:rPr>
          <w:rFonts w:ascii="Calibri" w:hAnsi="Calibri"/>
          <w:b w:val="0"/>
          <w:color w:val="3A4A28"/>
          <w:sz w:val="20"/>
        </w:rPr>
        <w:t>PPD collaboration and potential new partnership deals could provide non-dilutive funding and validation from a credible partner [1]</w:t>
      </w:r>
    </w:p>
    <w:p>
      <w:pPr>
        <w:spacing w:before="40" w:after="40"/>
        <w:ind w:left="283"/>
      </w:pPr>
      <w:r>
        <w:rPr>
          <w:rFonts w:ascii="Calibri" w:hAnsi="Calibri"/>
          <w:b/>
          <w:color w:val="4A6B25"/>
          <w:sz w:val="20"/>
        </w:rPr>
        <w:t xml:space="preserve">3. </w:t>
      </w:r>
      <w:r>
        <w:rPr>
          <w:rFonts w:ascii="Calibri" w:hAnsi="Calibri"/>
          <w:b w:val="0"/>
          <w:color w:val="3A4A28"/>
          <w:sz w:val="20"/>
        </w:rPr>
        <w:t>Successful equity raise to regain NYSE compliance by June 2026 deadline would remove immediate delisting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NYSE delisting by June 2026 if stockholders' equity remains below $6M — would devastate remaining liquidity and institutional access [3]</w:t>
      </w:r>
    </w:p>
    <w:p>
      <w:pPr>
        <w:spacing w:before="40" w:after="40"/>
        <w:ind w:left="283"/>
      </w:pPr>
      <w:r>
        <w:rPr>
          <w:rFonts w:ascii="Calibri" w:hAnsi="Calibri"/>
          <w:b/>
          <w:color w:val="4A6B25"/>
          <w:sz w:val="20"/>
        </w:rPr>
        <w:t xml:space="preserve">2. </w:t>
      </w:r>
      <w:r>
        <w:rPr>
          <w:rFonts w:ascii="Calibri" w:hAnsi="Calibri"/>
          <w:b w:val="0"/>
          <w:color w:val="3A4A28"/>
          <w:sz w:val="20"/>
        </w:rPr>
        <w:t>Going concern risk — only $3M cash with $14M annual burn rate leaves approximately 3 months of runway without additional financing [3]</w:t>
      </w:r>
    </w:p>
    <w:p>
      <w:pPr>
        <w:spacing w:before="40" w:after="40"/>
        <w:ind w:left="283"/>
      </w:pPr>
      <w:r>
        <w:rPr>
          <w:rFonts w:ascii="Calibri" w:hAnsi="Calibri"/>
          <w:b/>
          <w:color w:val="4A6B25"/>
          <w:sz w:val="20"/>
        </w:rPr>
        <w:t xml:space="preserve">3. </w:t>
      </w:r>
      <w:r>
        <w:rPr>
          <w:rFonts w:ascii="Calibri" w:hAnsi="Calibri"/>
          <w:b w:val="0"/>
          <w:color w:val="3A4A28"/>
          <w:sz w:val="20"/>
        </w:rPr>
        <w:t>60-year track record of clinical failure with Ampligen — the drug has never achieved FDA approval despite decades of trials, suggesting fundamental efficacy or commercial viability challenges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AIM's core business — clinical-stage drug development of nucleic acid-based therapeutics — involves wet-lab research, FDA-regulated clinical trials, and molecular biology that AI cannot substitute for [2]. Drug development requires physical experimentation, patient recruitment, regulatory navigation, and years of clinical evidence that AI tools enhance but cannot replace. The company's Ampligen compound is a unique macromolecular RNA therapy with specific IP protection. AI Opportunity (1/1): While AIM does not generate AI revenue directly, AI tools in drug discovery and clinical trial design are increasingly applicable to immuno-oncology, and AIM's data from decades of Ampligen trials could potentially be mined with AI methods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AIM ImmunoTech Clinical Progress Report — Phase 2 Ampligen/Imfinzi pancreatic cancer interim results, 2026</w:t>
      </w:r>
    </w:p>
    <w:p>
      <w:pPr>
        <w:spacing w:before="20" w:after="20"/>
        <w:ind w:left="170"/>
      </w:pPr>
      <w:r>
        <w:rPr>
          <w:rFonts w:ascii="Calibri" w:hAnsi="Calibri"/>
          <w:b/>
          <w:color w:val="4A6B25"/>
          <w:sz w:val="15"/>
        </w:rPr>
        <w:t xml:space="preserve">2. </w:t>
      </w:r>
      <w:r>
        <w:rPr>
          <w:rFonts w:ascii="Calibri" w:hAnsi="Calibri"/>
          <w:b w:val="0"/>
          <w:color w:val="3A4A28"/>
          <w:sz w:val="17"/>
        </w:rPr>
        <w:t>AIM ImmunoTech Management Team and CEO Corner — company website and LinkedIn,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AIM ImmunoTech SEC Filings — Going concern warning, NYSE compliance, proxy fight details, 10-K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AIM, retrieved April 1,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AIM ImmunoTech revenue history and financial metrics,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