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AIRE</w:t>
      </w:r>
      <w:r>
        <w:rPr>
          <w:rFonts w:ascii="Calibri" w:hAnsi="Calibri"/>
          <w:b/>
          <w:color w:val="1A2010"/>
          <w:sz w:val="40"/>
        </w:rPr>
        <w:t xml:space="preserve">  reAlpha Tech Corp.</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reAlpha Tech Corp. is an AI-powered real estate technology company developing an end-to-end homebuying platform integrating brokerage (Prevu), mortgage (reAlpha Mortgage), title (Hyperfast), and AI conversational services (AiChat). The platform includes the Claire AI concierge, Homebuying Hub, and supports operations across 35 US states.</w:t>
      </w:r>
    </w:p>
    <w:p>
      <w:r>
        <w:rPr>
          <w:rFonts w:ascii="Calibri" w:hAnsi="Calibri"/>
          <w:b/>
          <w:color w:val="6E8450"/>
          <w:sz w:val="18"/>
        </w:rPr>
        <w:t>113 Employees · https://www.realpha.com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grew 376% YoY to $4.5M in FY2025 with $116M in total transaction volume, but from a negligible $0.9M base — the company remains pre-scale with only $4.5M annual revenue [1]. Acquisitions of Prevu, AiChat, and pending InstaMortgage show aggressive assembly of a platform. AI Deployment (1/2): AiChat's conversational AI platform supports 250+ languages and is generating subscription revenue; Claire AI concierge assists homebuyers through the transaction journey [2]. However, these are early-stage deployments with minimal revenue impact. Market Share (0/2): reAlpha has negligible market share in the multi-trillion-dollar US real estate services market. Licensed in 35 states but actual brokerage operations span only 13 states plus DC [1][2]. Pipeline (1/2): Homebuying Hub launched February 2026 with plans to synchronize services across 30+ states; InstaMortgage acquisition expected to close Q2 2026 to add mortgage lending capabilities [1]. R&amp;D Intensity (1/1): Heavy technology investment relative to revenue — 113 employees including a Nepal-based software development team, with AI/ML capabilities across the platform exceeding what the $4.5M revenue base would typically support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reAlpha's mission to deliver 'a simpler, smarter, and more affordable path to homeownership' using AI is clear and connects to a meaningful social outcome, but it's not distinctive — numerous proptech companies make similar claims [2]. Community Impact (0/2): No evidence of charitable programs, community investment, or social impact beyond the core business promise of affordable homeownership [3]. Employee Retention (0/2): No retention data available. The company has 113 employees spread across US and Nepal operations, with rapid M&amp;A-driven growth creating integration challenges [2]. Insider Buying (0/2): No evidence of meaningful insider buying. The stock has declined ~85% YTD with $25.5M raised through equity dilution in 2025, suggesting management is selling shares to fund operations rather than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2.67M shares × $0.25 stock price = $680K, below the $1M liquidity minimum [4]. Even without the floor, metrics are deeply distressed: $4.5M annual revenue, -249.7% ROE, zero profit margin, negative forward P/E of -3.6x indicating expected continued losses, and $7.8M cash against a ~$750K monthly burn rate providing roughly 10 months of runway [1][4]. The company received Nasdaq non-compliance notices for minimum bid price (below $1.00) and minimum market value ($15.9M vs $35M requirement) in 2025, regained market value compliance temporarily, but faces a May 18, 2026 deadline for bid price compliance [3]. Shareholder dilution from $25.5M equity raises in 2025 has destroyed per-share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reAlpha is a 6-year-old startup fighting for survival rather than playing an infinite game. Founded in 2020, the company has pivoted from short-term rental investment to AI-powered homebuying through aggressive acquisitions, while facing Nasdaq compliance warnings and severe dilution. Strategic decisions appear driven by the need to reach scale before running out of capital, not by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reAlpha's stated purpose of making homeownership more affordable through AI-powered technology connects to a genuine social need but is indistinguishable from dozens of proptech companies [2]. The company pivoted from short-term rental investment (eAlpha Asset Management) to real estate technology to AI-powered homebuying in just five years, suggesting the cause follows the opportunity rather than the other way around.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Logozzo and CFO Phadke bring credible institutional experience (BMW Financial Services $32B portfolio, BTIG/Jefferies investment banking). The 113-person team includes a Nepal-based software development operation, suggesting organizational complexity [2]. No employee sentiment data is available, but the rapid M&amp;A integration (Prevu, AiChat, pending InstaMortgage) creates organizational stress.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reAlpha's leadership publicly acknowledging the strengths of major competitors like Zillow, Redfin, or Rocket Mortgage. Company communications focus on its own platform differentiation rather than learning from established players who dominate the market [2].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reAlpha has pivoted from short-term rental asset management to real estate technology services, acquiring AiChat (conversational AI), Prevu (brokerage), and pursuing InstaMortgage (mortgage lending) to build a vertically integrated platform [1][2]. This demonstrates willingness to reinvent the business model, but the pivots appear driven by financial necessity and opportunity-chasing rather than a consistent Just Cause.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pursued aggressive M&amp;A growth (Prevu, AiChat, InstaMortgage) and platform development while the stock declined 85% — arguably showing conviction, but funded primarily through shareholder dilution ($25.5M equity raises in 2025) rather than operational performance [1][3]. The terminated GTG Financial acquisition due to unmet payment terms raises execution questions. Leadership appears to be chasing growth metrics to maintain Nasdaq compliance rather than making courageous long-term investments.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reAlpha Tech Corp. is building an AI-powered end-to-end homebuying platform integrating brokerage, mortgage, title, and conversational AI services across 35 US states. FY2025 revenue surged 376% YoY to $4.5M with $116M in total transaction volume, demonstrating early product-market fit [1]. The Claire AI concierge and AiChat platform position the company at the intersection of two secular trends — AI automation and real estate technology consolidation. The Homebuying Hub launched in February 2026 provides a differentiated buyer experience, and the pending InstaMortgage acquisition would deepen mortgage lending capabilities [1][2]. At a $33.6M market cap, the stock prices in extreme pessimism — if the platform reaches scale, the real estate services TAM is multi-trillion dollars.</w:t>
      </w:r>
    </w:p>
    <w:p>
      <w:pPr>
        <w:spacing w:after="120"/>
      </w:pPr>
      <w:r>
        <w:rPr>
          <w:rFonts w:ascii="Calibri" w:hAnsi="Calibri"/>
          <w:b w:val="0"/>
          <w:color w:val="3A4A28"/>
          <w:sz w:val="20"/>
        </w:rPr>
        <w:t>The bear case is existential. reAlpha generates just $4.5M annual revenue with zero profit margins, -249.7% ROE, and burns ~$750K monthly against $7.8M in cash — approximately 10 months of runway [1][4]. The stock trades at $0.25 (down 85% YTD) and faces a May 18, 2026 Nasdaq deadline to regain compliance with the $1.00 minimum bid price requirement; failure means delisting [3]. Management raised $25.5M through equity dilution in 2025, destroying per-share value for existing shareholders. The company competes against Zillow ($12B revenue), Redfin, Rocket Mortgage, and other well-funded proptech platforms with vastly greater resources and brand recognition. AiChat was acquired for just $1.14M, suggesting limited strategic value. The terminated GTG Financial acquisition and controlled company governance exemptions raise additional red flags [2][3]. The liquidity floor is not met ($680K daily turnover), making the stock effectively untradeable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InstaMortgage acquisition closing in Q2 2026, adding mortgage lending capabilities and revenue to the vertically integrated platform [1]</w:t>
      </w:r>
    </w:p>
    <w:p>
      <w:pPr>
        <w:spacing w:before="40" w:after="40"/>
        <w:ind w:left="283"/>
      </w:pPr>
      <w:r>
        <w:rPr>
          <w:rFonts w:ascii="Calibri" w:hAnsi="Calibri"/>
          <w:b/>
          <w:color w:val="4A6B25"/>
          <w:sz w:val="20"/>
        </w:rPr>
        <w:t xml:space="preserve">2. </w:t>
      </w:r>
      <w:r>
        <w:rPr>
          <w:rFonts w:ascii="Calibri" w:hAnsi="Calibri"/>
          <w:b w:val="0"/>
          <w:color w:val="3A4A28"/>
          <w:sz w:val="20"/>
        </w:rPr>
        <w:t>Homebuying Hub scaling across 30+ states in 2026, potentially driving transaction volume growth from the $116M FY2025 base [1]</w:t>
      </w:r>
    </w:p>
    <w:p>
      <w:pPr>
        <w:spacing w:before="40" w:after="40"/>
        <w:ind w:left="283"/>
      </w:pPr>
      <w:r>
        <w:rPr>
          <w:rFonts w:ascii="Calibri" w:hAnsi="Calibri"/>
          <w:b/>
          <w:color w:val="4A6B25"/>
          <w:sz w:val="20"/>
        </w:rPr>
        <w:t xml:space="preserve">3. </w:t>
      </w:r>
      <w:r>
        <w:rPr>
          <w:rFonts w:ascii="Calibri" w:hAnsi="Calibri"/>
          <w:b w:val="0"/>
          <w:color w:val="3A4A28"/>
          <w:sz w:val="20"/>
        </w:rPr>
        <w:t>Nasdaq minimum bid price compliance by May 18, 2026 — regaining compliance would prevent delisting and stabilize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must close above $1.00 for 10 consecutive days before May 18, 2026; current price of $0.25 is 75% below the threshold [3]</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10 months at current burn rate ($750K/month against $7.8M cash) with no clear path to profitability; continued equity dilution likely [1][4]</w:t>
      </w:r>
    </w:p>
    <w:p>
      <w:pPr>
        <w:spacing w:before="40" w:after="40"/>
        <w:ind w:left="283"/>
      </w:pPr>
      <w:r>
        <w:rPr>
          <w:rFonts w:ascii="Calibri" w:hAnsi="Calibri"/>
          <w:b/>
          <w:color w:val="4A6B25"/>
          <w:sz w:val="20"/>
        </w:rPr>
        <w:t xml:space="preserve">3. </w:t>
      </w:r>
      <w:r>
        <w:rPr>
          <w:rFonts w:ascii="Calibri" w:hAnsi="Calibri"/>
          <w:b w:val="0"/>
          <w:color w:val="3A4A28"/>
          <w:sz w:val="20"/>
        </w:rPr>
        <w:t>Competition from Zillow, Redfin, and Rocket Mortgage with billion-dollar revenue bases and established brands dwarfs reAlpha's $4.5M revenue, making market share capture extremely difficult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reAlpha's real estate brokerage and mortgage services face moderate AI disruption risk — traditional real estate agents and mortgage brokers are among the professions most frequently cited as vulnerable to AI automation [2]. The company's strategy of building AI into its own platform (Claire AI, AiChat) is an attempt to be the disruptor rather than the disrupted, but this creates a dependency on AI capabilities that well-funded competitors (Zillow, Redfin, Rocket Mortgage) could replicate. The title/escrow business has more regulatory protection. AI Opportunity (1/1): AiChat generates subscription revenue from its conversational AI platform, and Claire AI concierge is a customer-facing AI product integrated into the Homebuying Hub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reAlpha Q4 &amp; FY2025 Earnings Release — $4.5M revenue (376% growth), $116M transaction volume, Homebuying Hub launch, March 12, 2026</w:t>
      </w:r>
    </w:p>
    <w:p>
      <w:pPr>
        <w:spacing w:before="20" w:after="20"/>
        <w:ind w:left="170"/>
      </w:pPr>
      <w:r>
        <w:rPr>
          <w:rFonts w:ascii="Calibri" w:hAnsi="Calibri"/>
          <w:b/>
          <w:color w:val="4A6B25"/>
          <w:sz w:val="15"/>
        </w:rPr>
        <w:t xml:space="preserve">2. </w:t>
      </w:r>
      <w:r>
        <w:rPr>
          <w:rFonts w:ascii="Calibri" w:hAnsi="Calibri"/>
          <w:b w:val="0"/>
          <w:color w:val="3A4A28"/>
          <w:sz w:val="17"/>
        </w:rPr>
        <w:t>reAlpha corporate presentations; AiChat acquisition details (July 2024); HCW event presentation (February 2026); team and product information</w:t>
      </w:r>
    </w:p>
    <w:p>
      <w:pPr>
        <w:spacing w:before="20" w:after="20"/>
        <w:ind w:left="170"/>
      </w:pPr>
      <w:r>
        <w:rPr>
          <w:rFonts w:ascii="Calibri" w:hAnsi="Calibri"/>
          <w:b/>
          <w:color w:val="4A6B25"/>
          <w:sz w:val="15"/>
        </w:rPr>
        <w:t xml:space="preserve">3. </w:t>
      </w:r>
      <w:r>
        <w:rPr>
          <w:rFonts w:ascii="Calibri" w:hAnsi="Calibri"/>
          <w:b w:val="0"/>
          <w:color w:val="3A4A28"/>
          <w:sz w:val="17"/>
        </w:rPr>
        <w:t>Nasdaq compliance notices — minimum bid price (May 2025), market value (2025), 180-day extension to May 18, 2026; Freedom Broker dilution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AIRE (reAlpha Tech Corp.),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