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AIV</w:t>
      </w:r>
      <w:r>
        <w:rPr>
          <w:rFonts w:ascii="Calibri" w:hAnsi="Calibri"/>
          <w:b/>
          <w:color w:val="1A2010"/>
          <w:sz w:val="40"/>
        </w:rPr>
        <w:t xml:space="preserve">  Apartment Investment and Management Co.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Residential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Apartment Investment and Management Co. (Aimco) is a diversified real estate company focused on value-add and opportunistic investments in apartment communities, primarily through development, redevelopment, and portfolio optimization.</w:t>
      </w:r>
    </w:p>
    <w:p>
      <w:r>
        <w:rPr>
          <w:rFonts w:ascii="Calibri" w:hAnsi="Calibri"/>
          <w:b/>
          <w:color w:val="6E8450"/>
          <w:sz w:val="18"/>
        </w:rPr>
        <w:t>50 Employees · https://www.aimco.com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Modest real estate development activity with no transformative business pivots; the company spun off from its legacy REIT to focus on value-add but has not demonstrated significant returns [1]. AI Deployment (0/2): No AI products or AI-driven operations. Market Share (0/2): Tiny participant with 50 employees and $582M market cap in a fragmented residential REIT market. Pipeline (1/2): Development pipeline exists but with vague timelines and limited visibility. R&amp;D Intensity (1/1): Above-average reinvestment in development relative to its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mission around creating value through real estate investment. Community Impact (1/2): Limited community programs at this scale. Employee Retention (0/2): Only 50 employees with no retention data. Insider Buying (1/2): Some insider activity but minimal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AIV shows weak fundamentals for a REIT. D/E of 157.5% is elevated, ROE of 9.6% is below target, and profit margin is extremely high at 400% due to asset sales distorting reported margins [1]. Revenue declined 3.9% YoY. Forward P/E of -8.98 (negative) reflects expected losses. The stock trades at $4.04 with $12.9M daily liquidity. Very small operation with just 50 employees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Aimco operates with a largely finite mindset, focused on asset transactions and value extraction rather than building enduring communities or a sustainable organizational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Just Cause (0 pts → 1/10): The company exists to create value through real estate investment — a purely financial objective with no articulated vision of a better future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 trust (0 pts → 2/10): Only 50 employees suggests a holding-company structure with outsourced operations, offering limited evidence of organizational trust or team development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mindset (0 pts → 3/10): No evidence of acknowledging competitor strengths or learning from rivals. Competitive positioning is purely financial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 → 6/10): The spin-off from legacy Aimco REIT to focus on value-add/opportunistic investments represents a meaningful strategic shift, though driven by financial engineering rather than mission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courage (0 pts → 2/10): No evidence of sacrificing short-term performance for long-term capability. Decisions appear driven by financial optimization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AIV is a micro-cap REIT with just 50 employees and a $582M market cap, operating as a value-add real estate investment vehicle post-spin-off [1]. The stock trades at $4.04 with forward P/E negative, suggesting expected losses ahead. Revenue declined 3.9% YoY with elevated D/E of 157.5%.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dominates: AIV is essentially a small holding company making opportunistic real estate bets rather than operating a scaled business [1]. The 50-employee structure suggests heavy outsourcing and limited operational control. No dividend, negative forward earnings expectations, and declining revenue make this unsuitable for IOWN investment parameters. The Inspire ALIGNED score is a positive signal but cannot overcome the operational and financial challenges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Development pipeline value realization through property sales or lease-up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Potential acquisition target given small size and valuable real estate assets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Residential housing shortage in key markets driving apartment demand and asset values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forward earnings expectations suggest continued operational losses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D/E of 157.5% with only 50 employees creates concentration and leverage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Interest rate sensitivity — higher rates pressure REIT valuations and development economics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Real estate development and apartment management involve physical-world operations that AI cannot displace — buildings require construction, maintenance, and on-site management [1]. However, PropTech AI tools may pressure pricing transparency and tenant acquisition costs.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AIV (Aimco), retrieved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Aimco corporate filings and investor presentations,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