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AIXI</w:t>
      </w:r>
      <w:r>
        <w:rPr>
          <w:rFonts w:ascii="Calibri" w:hAnsi="Calibri"/>
          <w:b/>
          <w:color w:val="1A2010"/>
          <w:sz w:val="40"/>
        </w:rPr>
        <w:t xml:space="preserve">  XIAO-I Corporation</w:t>
      </w:r>
    </w:p>
    <w:p>
      <w:pPr>
        <w:spacing w:after="120"/>
      </w:pPr>
      <w:r>
        <w:rPr>
          <w:rFonts w:ascii="Calibri" w:hAnsi="Calibri"/>
          <w:b/>
          <w:color w:val="6E8450"/>
          <w:sz w:val="18"/>
        </w:rPr>
        <w:t>GROWTH SLEEVE · 2026-05-02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China</w:t>
      </w:r>
    </w:p>
    <w:p>
      <w:pPr>
        <w:spacing w:after="80"/>
      </w:pPr>
      <w:r>
        <w:rPr>
          <w:rFonts w:ascii="Calibri" w:hAnsi="Calibri"/>
          <w:b w:val="0"/>
          <w:color w:val="3A4A28"/>
          <w:sz w:val="20"/>
        </w:rPr>
        <w:t>XIAO-I Corporation is a China-based cognitive intelligence enterprise providing AI solutions including natural language processing, voice and image recognition, machine learning, and affective computing. The company serves enterprise customers in financial services, telecommunications, and smart city applications through its Hua Zang Universal Large Language Model.</w:t>
      </w:r>
    </w:p>
    <w:p>
      <w:r>
        <w:rPr>
          <w:rFonts w:ascii="Calibri" w:hAnsi="Calibri"/>
          <w:b/>
          <w:color w:val="6E8450"/>
          <w:sz w:val="18"/>
        </w:rPr>
        <w:t>https://www.xiaoi.com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XIAO-I launched its Hua Zang Universal Large Language Model in June 2023 with 'Controllable, Customizable, and Deliverable' features, and won a significant patent case against Apple with China's Supreme Court affirming its AI patents in April 2026 [1]. CEO Yuan Hui is recognized as an AI pioneer, speaking at Davos and Boao Forums [2]. However, revenue declined 65.1% YoY suggesting severe commercialization challenges, and the company competes against far better-resourced Chinese AI firms (Baidu, Alibaba, SenseTime) with limited differentiation.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stated mission to 'serve and benefit more people with AI technology' is generic and undifferentiated [2]. CEO Yuan Hui has been chairman since 2009, providing continuity, but the company faces a class action lawsuit alleging overstated AI capabilities, non-compliance with GAAP, and material weakness in financial controls [3]. Nasdaq listing deficiency notices for both minimum bid price (&lt;$1.00) and minimum market value of public shares (&lt;$15M) signal existential corporate distress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Critically impaired financials with -59.6% profit margin, negative book value per share (-$0.98), negative equity of approximately -$12.2M, and deeply negative working capital [5]. Revenue collapsed 65.1% YoY, the forward P/E of -1.5 confirms no path to profitability visible to analysts. Market cap of just $10.9M with dual Nasdaq listing deficiency notices (price and market value) creates near-term delisting risk. The $0.81 stock price and VIE structure add layers of structural risk for US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XIAO-I is fighting for survival rather than playing an infinite game. Dual Nasdaq deficiency notices, a class action lawsuit, 65% revenue decline, and negative equity indicate a company in existential crisis. The focus is necessarily on near-term survival — curing listing violations, settling litigation, and finding customers — rather than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original mission of democratizing AI technology through cognitive intelligence has merit, and CEO Yuan Hui has pursued it since 2009 [2]. However, the class action allegations of overstated AI capabilities undermine credibility [3]. When a company faces delisting and negative equity, the just cause becomes secondary to organizational survival.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Material weaknesses in financial controls, as alleged in the class action lawsuit, suggest governance failures that erode internal trust [3]. The VIE corporate structure adds complexity that can distance management from US shareholders. No public employee sentiment data available, but a 65% revenue decline likely correlates with workforce reductions and morale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XIAO-I is massively outgunned by Chinese AI rivals including Baidu (Ernie Bot), Alibaba (Tongyi Qianwen), and Tencent, each with 100x+ XIAO-I's resources. The company's $10.9M market cap versus these trillion-dollar competitors makes sustainable competition nearly impossible. The Apple patent case represents defensive positioning rather than competitive advancement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XIAO-I has attempted to pivot from traditional NLP chatbots to generative AI (Hua Zang LLM) and from pure software to smart city and architectural design solutions. However, revenue declining 65% suggests these pivots are failing to gain traction. The company announced plans to implement a reverse stock split to cure Nasdaq deficiency, which is a survival mechanism rather than strategic flexibility [4].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the Apple patent case through China's Supreme Court shows legal courage and conviction in IP rights [1]. However, the overall picture is one of a company unable to translate technology into commercial success, facing multiple existential threats simultaneously. Leadership has failed to prevent the company's decline from $70M+ revenue to a sub-$11M market cap distressed situation.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XIAO-I Corporation is a deeply distressed Chinese AI company with a $10.9M market cap, dual Nasdaq listing deficiency notices, a class action lawsuit, and 65% revenue decline. The only identifiable value catalyst is the Apple patent victory in China's Supreme Court, which could lead to a licensing settlement, but the VIE structure and Chinese legal jurisdiction make any recovery for US ADS holders highly uncertain.</w:t>
      </w:r>
    </w:p>
    <w:p>
      <w:pPr>
        <w:spacing w:after="120"/>
      </w:pPr>
      <w:r>
        <w:rPr>
          <w:rFonts w:ascii="Calibri" w:hAnsi="Calibri"/>
          <w:b w:val="0"/>
          <w:color w:val="3A4A28"/>
          <w:sz w:val="20"/>
        </w:rPr>
        <w:t>The stock is a SELL despite the speculative appeal of its AI/patent narrative. Negative equity, negative working capital, forward P/E of -1.5, and imminent delisting risk far outweigh any potential upside from patent monetization or AI technology. The high daily trading volume (54.7M shares) relative to market cap suggests the stock has become a retail speculative vehicle rather than a fundamental investment. Capital preservation demands avoiding this name entirely.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Apple patent licensing settlement or damages could provide material one-time revenue if enforceable against Apple China operations</w:t>
      </w:r>
    </w:p>
    <w:p>
      <w:pPr>
        <w:spacing w:before="40" w:after="40"/>
        <w:ind w:left="283"/>
      </w:pPr>
      <w:r>
        <w:rPr>
          <w:rFonts w:ascii="Calibri" w:hAnsi="Calibri"/>
          <w:b/>
          <w:color w:val="4A6B25"/>
          <w:sz w:val="20"/>
        </w:rPr>
        <w:t xml:space="preserve">2. </w:t>
      </w:r>
      <w:r>
        <w:rPr>
          <w:rFonts w:ascii="Calibri" w:hAnsi="Calibri"/>
          <w:b w:val="0"/>
          <w:color w:val="3A4A28"/>
          <w:sz w:val="20"/>
        </w:rPr>
        <w:t>Reverse stock split implementation to cure Nasdaq minimum bid price deficiency and maintain listing</w:t>
      </w:r>
    </w:p>
    <w:p>
      <w:pPr>
        <w:spacing w:before="40" w:after="40"/>
        <w:ind w:left="283"/>
      </w:pPr>
      <w:r>
        <w:rPr>
          <w:rFonts w:ascii="Calibri" w:hAnsi="Calibri"/>
          <w:b/>
          <w:color w:val="4A6B25"/>
          <w:sz w:val="20"/>
        </w:rPr>
        <w:t xml:space="preserve">3. </w:t>
      </w:r>
      <w:r>
        <w:rPr>
          <w:rFonts w:ascii="Calibri" w:hAnsi="Calibri"/>
          <w:b w:val="0"/>
          <w:color w:val="3A4A28"/>
          <w:sz w:val="20"/>
        </w:rPr>
        <w:t>Hua Zang LLM commercialization gaining enterprise customers, though 65% revenue decline trajectory suggests this is unlikely near-term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Nasdaq delisting risk from dual deficiency notices (bid price &lt;$1.00 and market value of public shares &lt;$15M)</w:t>
      </w:r>
    </w:p>
    <w:p>
      <w:pPr>
        <w:spacing w:before="40" w:after="40"/>
        <w:ind w:left="283"/>
      </w:pPr>
      <w:r>
        <w:rPr>
          <w:rFonts w:ascii="Calibri" w:hAnsi="Calibri"/>
          <w:b/>
          <w:color w:val="4A6B25"/>
          <w:sz w:val="20"/>
        </w:rPr>
        <w:t xml:space="preserve">2. </w:t>
      </w:r>
      <w:r>
        <w:rPr>
          <w:rFonts w:ascii="Calibri" w:hAnsi="Calibri"/>
          <w:b w:val="0"/>
          <w:color w:val="3A4A28"/>
          <w:sz w:val="20"/>
        </w:rPr>
        <w:t>Class action lawsuit alleging overstated AI capabilities, GAAP non-compliance, and material weakness in financial controls</w:t>
      </w:r>
    </w:p>
    <w:p>
      <w:pPr>
        <w:spacing w:before="40" w:after="40"/>
        <w:ind w:left="283"/>
      </w:pPr>
      <w:r>
        <w:rPr>
          <w:rFonts w:ascii="Calibri" w:hAnsi="Calibri"/>
          <w:b/>
          <w:color w:val="4A6B25"/>
          <w:sz w:val="20"/>
        </w:rPr>
        <w:t xml:space="preserve">3. </w:t>
      </w:r>
      <w:r>
        <w:rPr>
          <w:rFonts w:ascii="Calibri" w:hAnsi="Calibri"/>
          <w:b w:val="0"/>
          <w:color w:val="3A4A28"/>
          <w:sz w:val="20"/>
        </w:rPr>
        <w:t>Revenue collapsed 65% YoY with negative equity and no visible path to profitability — going concern risk is elevated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Paradoxically, XIAO-I is an AI company facing AI disruption — the rapid advancement of large language models from well-capitalized competitors (OpenAI, Baidu, Alibaba) threatens to commoditize the NLP and conversational AI capabilities that form XIAO-I's core product [2]. The company's Hua Zang LLM lacks the scale, training data, and compute resources to compete with tier-1 models. The Apple patent victory provides some IP moat [1], but patents alone cannot sustain a business with collapsing revenue. AI is both XIAO-I's product and its greatest competitive threat.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StocksToTrade — 'AIXI Stock Jumps As Chinese Court Backs Core AI Patents',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AInvest — 'XIAO-I Corporation CEO Mr. Yuan Hui explores AI impact', 2023-2026</w:t>
      </w:r>
    </w:p>
    <w:p>
      <w:pPr>
        <w:spacing w:before="20" w:after="20"/>
        <w:ind w:left="170"/>
      </w:pPr>
      <w:r>
        <w:rPr>
          <w:rFonts w:ascii="Calibri" w:hAnsi="Calibri"/>
          <w:b/>
          <w:color w:val="4A6B25"/>
          <w:sz w:val="15"/>
        </w:rPr>
        <w:t xml:space="preserve">3. </w:t>
      </w:r>
      <w:r>
        <w:rPr>
          <w:rFonts w:ascii="Calibri" w:hAnsi="Calibri"/>
          <w:b w:val="0"/>
          <w:color w:val="3A4A28"/>
          <w:sz w:val="17"/>
        </w:rPr>
        <w:t>Rosen Law Firm — XIAO-I Corporation Class Action Lawsuit filing, 2025</w:t>
      </w:r>
    </w:p>
    <w:p>
      <w:pPr>
        <w:spacing w:before="20" w:after="20"/>
        <w:ind w:left="170"/>
      </w:pPr>
      <w:r>
        <w:rPr>
          <w:rFonts w:ascii="Calibri" w:hAnsi="Calibri"/>
          <w:b/>
          <w:color w:val="4A6B25"/>
          <w:sz w:val="15"/>
        </w:rPr>
        <w:t xml:space="preserve">4. </w:t>
      </w:r>
      <w:r>
        <w:rPr>
          <w:rFonts w:ascii="Calibri" w:hAnsi="Calibri"/>
          <w:b w:val="0"/>
          <w:color w:val="3A4A28"/>
          <w:sz w:val="17"/>
        </w:rPr>
        <w:t>StockTitan — 'Xiao-I Corporation Announces Receipt of Nasdaq Listing Deficiency Notices', December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AIXI Key Statistics and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