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371600" cy="723227"/>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371600" cy="723227"/>
                    </a:xfrm>
                    <a:prstGeom prst="rect"/>
                  </pic:spPr>
                </pic:pic>
              </a:graphicData>
            </a:graphic>
          </wp:inline>
        </w:drawing>
      </w:r>
    </w:p>
    <w:p>
      <w:pPr>
        <w:spacing w:before="120" w:after="40"/>
      </w:pPr>
      <w:r>
        <w:rPr>
          <w:rFonts w:ascii="Calibri" w:hAnsi="Calibri"/>
          <w:b/>
          <w:color w:val="4A6B25"/>
          <w:sz w:val="56"/>
        </w:rPr>
        <w:t>AJG</w:t>
      </w:r>
      <w:r>
        <w:rPr>
          <w:rFonts w:ascii="Calibri" w:hAnsi="Calibri"/>
          <w:b/>
          <w:color w:val="1A2010"/>
          <w:sz w:val="40"/>
        </w:rPr>
        <w:t xml:space="preserve">  Arthur J. Gallagher &amp; Co.</w:t>
      </w:r>
    </w:p>
    <w:p>
      <w:pPr>
        <w:spacing w:after="120"/>
      </w:pPr>
      <w:r>
        <w:rPr>
          <w:rFonts w:ascii="Calibri" w:hAnsi="Calibri"/>
          <w:b/>
          <w:color w:val="6E8450"/>
          <w:sz w:val="18"/>
        </w:rPr>
        <w:t>DIVIDEND SLEEVE · 2026-04-14 · Inspire: -49 · MIXED</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1200" w:type="dxa"/>
      </w:tblPr>
      <w:tblGrid>
        <w:gridCol w:w="10800"/>
      </w:tblGrid>
      <w:tr>
        <w:tc>
          <w:tcPr>
            <w:tcW w:type="dxa" w:w="10800"/>
            <w:shd w:fill="FFF8E1" w:val="clear"/>
          </w:tcPr>
          <w:p>
            <w:pPr>
              <w:spacing w:before="40" w:after="40"/>
              <w:jc w:val="center"/>
            </w:pPr>
            <w:r>
              <w:rPr>
                <w:rFonts w:ascii="Calibri" w:hAnsi="Calibri"/>
                <w:b/>
                <w:color w:val="D97706"/>
                <w:sz w:val="20"/>
              </w:rPr>
              <w:t>HOLD</w:t>
            </w:r>
          </w:p>
        </w:tc>
      </w:tr>
    </w:tbl>
    <w:p>
      <w:pPr>
        <w:spacing w:before="120" w:after="200"/>
      </w:pPr>
      <w:r>
        <w:rPr>
          <w:rFonts w:ascii="Calibri" w:hAnsi="Calibri"/>
          <w:b/>
          <w:color w:val="1A2010"/>
          <w:sz w:val="80"/>
        </w:rPr>
        <w:t>68</w:t>
      </w:r>
      <w:r>
        <w:rPr>
          <w:rFonts w:ascii="Calibri" w:hAnsi="Calibri"/>
          <w:b w:val="0"/>
          <w:color w:val="9DAF88"/>
          <w:sz w:val="28"/>
        </w:rPr>
        <w:t xml:space="preserve"> / </w:t>
      </w:r>
      <w:r>
        <w:rPr>
          <w:rFonts w:ascii="Calibri" w:hAnsi="Calibri"/>
          <w:b w:val="0"/>
          <w:color w:val="9DAF88"/>
          <w:sz w:val="24"/>
        </w:rPr>
        <w:t>100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COMPANY PROFILE</w:t>
            </w:r>
          </w:p>
        </w:tc>
      </w:tr>
    </w:tbl>
    <w:p>
      <w:r>
        <w:rPr>
          <w:rFonts w:ascii="Calibri" w:hAnsi="Calibri"/>
          <w:b/>
          <w:color w:val="6E8450"/>
          <w:sz w:val="18"/>
        </w:rPr>
        <w:t>Financial Services · Insurance Brokers · NYSE · United States</w:t>
      </w:r>
    </w:p>
    <w:p>
      <w:pPr>
        <w:spacing w:after="80"/>
      </w:pPr>
      <w:r>
        <w:rPr>
          <w:rFonts w:ascii="Calibri" w:hAnsi="Calibri"/>
          <w:b w:val="0"/>
          <w:color w:val="3A4A28"/>
          <w:sz w:val="20"/>
        </w:rPr>
        <w:t>Arthur J. Gallagher &amp; Co. is the world's third-largest insurance broker, providing retail and wholesale insurance brokerage, employee benefits consulting, claims management and risk management services. Headquartered in Rolling Meadows, Illinois, the company is led by J. Patrick Gallagher Jr. (CEO since 1995) and has built a global platform through 500+ tuck-in acquisitions over 30 years.</w:t>
      </w:r>
    </w:p>
    <w:p>
      <w:r>
        <w:rPr>
          <w:rFonts w:ascii="Calibri" w:hAnsi="Calibri"/>
          <w:b/>
          <w:color w:val="6E8450"/>
          <w:sz w:val="18"/>
        </w:rPr>
        <w:t>56,000 Employees · https://www.ajg.com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EXCELLENCE EVALUATION — THINK LIKE AN OWNER (50%)</w:t>
            </w:r>
          </w:p>
        </w:tc>
      </w:tr>
    </w:tbl>
    <w:p>
      <w:pPr>
        <w:spacing w:before="200" w:after="40"/>
      </w:pPr>
      <w:r>
        <w:rPr>
          <w:rFonts w:ascii="Calibri" w:hAnsi="Calibri"/>
          <w:b/>
          <w:color w:val="1A2010"/>
          <w:sz w:val="22"/>
        </w:rPr>
        <w:t>Innovation</w:t>
      </w:r>
      <w:r>
        <w:rPr>
          <w:rFonts w:ascii="Calibri" w:hAnsi="Calibri"/>
          <w:b w:val="0"/>
          <w:color w:val="1A2010"/>
          <w:sz w:val="22"/>
        </w:rPr>
        <w:t xml:space="preserve">  </w:t>
      </w:r>
      <w:r>
        <w:rPr>
          <w:rFonts w:ascii="Calibri" w:hAnsi="Calibri"/>
          <w:b/>
          <w:color w:val="16A34A"/>
          <w:sz w:val="16"/>
        </w:rPr>
        <w:t xml:space="preserve"> STRONG </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Track Record (3/3): AJG has executed a multi-decade serial M&amp;A strategy — 500+ tuck-in acquisitions in 30 years under Pat Gallagher — culminating in the transformative AssuredPartners acquisition that drove FY2025 revenue to $13.94B (+20.7% YoY) and Q4 revenue +33.6% to $3.63B [1][2]. AI Deployment (2/2): AJG has deployed 'Digital Sherpas' — AI assistants that analyze decades of proprietary claims and pricing data to help brokers predict casualty risks more accurately, with technology investment of $200-300M annually [2]. AI is being applied to underwriting, claims processing, and risk advisory. Market Share (1/2): AJG is the world's #3 insurance broker, a meaningful but not dominant position behind Marsh McLennan and Aon. Pipeline (1/2): The company guided 2026 organic revenue growth of 5.5% Brokerage and 7% Risk Management with 40-60 bps margin expansion plus AssuredPartners synergies expected through 2027 [1]. R&amp;D Intensity (0/1): Insurance brokerage is not an R&amp;D intensive sector; AJG's tech spend is at industry-typical levels but not above peers like Marsh.</w:t>
      </w:r>
    </w:p>
    <w:p>
      <w:pPr>
        <w:spacing w:before="200" w:after="40"/>
      </w:pPr>
      <w:r>
        <w:rPr>
          <w:rFonts w:ascii="Calibri" w:hAnsi="Calibri"/>
          <w:b/>
          <w:color w:val="1A2010"/>
          <w:sz w:val="22"/>
        </w:rPr>
        <w:t>Inspiration</w:t>
      </w:r>
      <w:r>
        <w:rPr>
          <w:rFonts w:ascii="Calibri" w:hAnsi="Calibri"/>
          <w:b w:val="0"/>
          <w:color w:val="1A2010"/>
          <w:sz w:val="22"/>
        </w:rPr>
        <w:t xml:space="preserve">  </w:t>
      </w:r>
      <w:r>
        <w:rPr>
          <w:rFonts w:ascii="Calibri" w:hAnsi="Calibri"/>
          <w:b/>
          <w:color w:val="16A34A"/>
          <w:sz w:val="16"/>
        </w:rPr>
        <w:t xml:space="preserve"> STRONG </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Mission Floor (3/4): 'The Gallagher Way' — 25 cultural tenets codified by Bob Gallagher in 1984 — is a specific, thoughtful and distinctive expression of purpose that has clearly been lived out for 40+ years and is referenced in strategic decisions [3]. The company describes itself as a 'sales organization that happens to sell insurance,' which reflects deep cultural intentionality. Community Impact (2/2): AJG has led with a sustainability and community commitment for 90+ years, with active community programs and matching gift initiatives [3]. Significant volunteer programs and charitable giving across global offices. Employee Retention (2/2): Pat Gallagher's 30-year tenure as CEO since 1995 (one of the longest in the S&amp;P 500) and Bob Gallagher's leadership before him reflect extraordinary leadership stability [2]. Decentralized branch structure preserves entrepreneurial culture and explains long employee tenure. Insider Buying (0/2): Recent insider activity is dominated by phantom stock vesting and routine compensation transactions, plus material insider selling (~$8.24M in recent disclosed sales). No notable open-market insider buying [3].</w:t>
      </w:r>
    </w:p>
    <w:p>
      <w:pPr>
        <w:spacing w:before="200" w:after="40"/>
      </w:pPr>
      <w:r>
        <w:rPr>
          <w:rFonts w:ascii="Calibri" w:hAnsi="Calibri"/>
          <w:b/>
          <w:color w:val="1A2010"/>
          <w:sz w:val="22"/>
        </w:rPr>
        <w:t>Infrastructure</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AJG's metrics are mixed by the AssuredPartners deal integration. Forward P/E of 15.0 is below the 20 target, D/E of 58.4% is below the 70% target, and revenue growth of 36.7% YoY (boosted by M&amp;A) is well above the 10% target [5]. ROE of 6.9% is materially below the 15% target, reflecting goodwill from acquisitions (AssuredPartners deal added ~$13B in goodwill), and profit margin of 11.5% is below the 20% target [5]. Q4 EPS of $0.58 missed consensus of $2.37 by a wide margin due to integration costs [1]. Dividend metrics are strong: AJG has paid dividends consistently for 40+ years with a current yield of ~1.0% (low) and a multi-decade record of dividend growth. Liquidity floor easily cleared: 2.54M avg vol × $222.50 = $565M [5].</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FINITE VS INFINITE GAME — SINEK (25%)</w:t>
            </w:r>
          </w:p>
        </w:tc>
      </w:tr>
    </w:tbl>
    <w:p>
      <w:pPr>
        <w:spacing w:after="40"/>
      </w:pPr>
      <w:r>
        <w:rPr>
          <w:rFonts w:ascii="Calibri" w:hAnsi="Calibri"/>
          <w:b w:val="0"/>
          <w:color w:val="6E8450"/>
          <w:sz w:val="22"/>
        </w:rPr>
        <w:t xml:space="preserve">Mindset: </w:t>
      </w:r>
      <w:r>
        <w:rPr>
          <w:rFonts w:ascii="Calibri" w:hAnsi="Calibri"/>
          <w:b/>
          <w:color w:val="B8860B"/>
          <w:sz w:val="22"/>
        </w:rPr>
        <w:t>MIXED</w:t>
      </w:r>
      <w:r>
        <w:rPr>
          <w:rFonts w:ascii="Calibri" w:hAnsi="Calibri"/>
          <w:b w:val="0"/>
          <w:color w:val="6E8450"/>
          <w:sz w:val="22"/>
        </w:rPr>
        <w:t xml:space="preserve">      Overall: </w:t>
      </w:r>
      <w:r>
        <w:rPr>
          <w:rFonts w:ascii="Calibri" w:hAnsi="Calibri"/>
          <w:b/>
          <w:color w:val="16A34A"/>
          <w:sz w:val="28"/>
        </w:rPr>
        <w:t>7</w:t>
      </w:r>
      <w:r>
        <w:rPr>
          <w:rFonts w:ascii="Calibri" w:hAnsi="Calibri"/>
          <w:b w:val="0"/>
          <w:color w:val="9DAF88"/>
          <w:sz w:val="18"/>
        </w:rPr>
        <w:t xml:space="preserve"> /10</w:t>
      </w:r>
    </w:p>
    <w:p>
      <w:pPr>
        <w:spacing w:after="120"/>
      </w:pPr>
      <w:r>
        <w:rPr>
          <w:rFonts w:ascii="Calibri" w:hAnsi="Calibri"/>
          <w:b w:val="0"/>
          <w:color w:val="3A4A28"/>
          <w:sz w:val="18"/>
        </w:rPr>
        <w:t>Arthur J. Gallagher exemplifies many infinite game traits — a 95+ year old family-led firm with one of the longest CEO tenures in the S&amp;P 500, a codified culture (The Gallagher Way) that survives leadership transitions, and a multi-decade M&amp;A roll-up strategy. The finite element is that growth is heavily M&amp;A driven and AJG has not made the kind of transformative pivot Sinek would cite as canonical existential flexibility.</w:t>
      </w:r>
    </w:p>
    <w:p>
      <w:pPr>
        <w:spacing w:before="200" w:after="40"/>
      </w:pPr>
      <w:r>
        <w:rPr>
          <w:rFonts w:ascii="Calibri" w:hAnsi="Calibri"/>
          <w:b/>
          <w:color w:val="1A2010"/>
          <w:sz w:val="22"/>
        </w:rPr>
        <w:t>Just Cause</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The Gallagher Way's 25 cultural tenets are a genuine, distinctive expression of purpose lived out for 40+ years across leadership generations [3]. It is more about how the firm operates than a transformative cause for the broader world, which limits the score from a Sinek perspective.</w:t>
      </w:r>
    </w:p>
    <w:p>
      <w:pPr>
        <w:spacing w:before="200" w:after="40"/>
      </w:pPr>
      <w:r>
        <w:rPr>
          <w:rFonts w:ascii="Calibri" w:hAnsi="Calibri"/>
          <w:b/>
          <w:color w:val="1A2010"/>
          <w:sz w:val="22"/>
        </w:rPr>
        <w:t>Trusting Teams</w:t>
      </w:r>
    </w:p>
    <w:p>
      <w:pPr>
        <w:spacing w:before="0" w:after="40"/>
      </w:pPr>
      <w:r>
        <w:rPr>
          <w:rFonts w:ascii="Calibri" w:hAnsi="Calibri"/>
          <w:b/>
          <w:color w:val="16A34A"/>
          <w:sz w:val="28"/>
        </w:rPr>
        <w:t>10</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12"/>
            <w:shd w:fill="16A34A" w:val="clear"/>
          </w:tcPr>
          <w:p>
            <w:pPr>
              <w:spacing w:before="0" w:after="0"/>
            </w:pPr>
            <w:r>
              <w:rPr>
                <w:rFonts w:ascii="Calibri" w:hAnsi="Calibri"/>
                <w:b w:val="0"/>
                <w:color w:val="1A2010"/>
                <w:sz w:val="4"/>
              </w:rPr>
            </w:r>
          </w:p>
        </w:tc>
        <w:tc>
          <w:tcPr>
            <w:tcW w:type="dxa" w:w="0"/>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Pat Gallagher's 30-year CEO tenure, multi-generational family leadership, and decentralized branch structure that preserves local autonomy all point to high-trust culture [2]. The Gallagher Way explicitly emphasizes the importance of mutual respect and entrepreneurship within the firm.</w:t>
      </w:r>
    </w:p>
    <w:p>
      <w:pPr>
        <w:spacing w:before="200" w:after="40"/>
      </w:pPr>
      <w:r>
        <w:rPr>
          <w:rFonts w:ascii="Calibri" w:hAnsi="Calibri"/>
          <w:b/>
          <w:color w:val="1A2010"/>
          <w:sz w:val="22"/>
        </w:rPr>
        <w:t>Worthy Rivals</w:t>
      </w:r>
    </w:p>
    <w:p>
      <w:pPr>
        <w:spacing w:before="0" w:after="40"/>
      </w:pPr>
      <w:r>
        <w:rPr>
          <w:rFonts w:ascii="Calibri" w:hAnsi="Calibri"/>
          <w:b/>
          <w:color w:val="16A34A"/>
          <w:sz w:val="28"/>
        </w:rPr>
        <w:t>10</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12"/>
            <w:shd w:fill="16A34A" w:val="clear"/>
          </w:tcPr>
          <w:p>
            <w:pPr>
              <w:spacing w:before="0" w:after="0"/>
            </w:pPr>
            <w:r>
              <w:rPr>
                <w:rFonts w:ascii="Calibri" w:hAnsi="Calibri"/>
                <w:b w:val="0"/>
                <w:color w:val="1A2010"/>
                <w:sz w:val="4"/>
              </w:rPr>
            </w:r>
          </w:p>
        </w:tc>
        <w:tc>
          <w:tcPr>
            <w:tcW w:type="dxa" w:w="0"/>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AJG management openly acknowledges Marsh McLennan and Aon as worthy rivals with better margins, broader global capabilities, and deeper consulting bench, and uses that competitive pressure to invest in tech (Digital Sherpas) and M&amp;A [2].</w:t>
      </w:r>
    </w:p>
    <w:p>
      <w:pPr>
        <w:spacing w:before="200" w:after="40"/>
      </w:pPr>
      <w:r>
        <w:rPr>
          <w:rFonts w:ascii="Calibri" w:hAnsi="Calibri"/>
          <w:b/>
          <w:color w:val="1A2010"/>
          <w:sz w:val="22"/>
        </w:rPr>
        <w:t>Existential Flexibility</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AJG has evolved from a Midwestern brokerage to a global platform with retail brokerage, wholesale, benefits, and risk management capabilities. The expansion has been incremental — 500+ tuck-ins — not a single transformative pivot like Apple or Fujifilm.</w:t>
      </w:r>
    </w:p>
    <w:p>
      <w:pPr>
        <w:spacing w:before="200" w:after="40"/>
      </w:pPr>
      <w:r>
        <w:rPr>
          <w:rFonts w:ascii="Calibri" w:hAnsi="Calibri"/>
          <w:b/>
          <w:color w:val="1A2010"/>
          <w:sz w:val="22"/>
        </w:rPr>
        <w:t>Courage To Lead</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The AssuredPartners deal is the largest in AJG history and shows willingness to take a big strategic bet despite near-term EPS dilution (Q4 2025 EPS missed consensus by ~75%) [1]. Gallagher's willingness to spend on M&amp;A through cycles reflects long-term capability building, but there's no clear example of walking away from profitable but misaligned business.</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INVESTMENT THESIS</w:t>
            </w:r>
          </w:p>
        </w:tc>
      </w:tr>
    </w:tbl>
    <w:p>
      <w:pPr>
        <w:spacing w:after="120"/>
      </w:pPr>
      <w:r>
        <w:rPr>
          <w:rFonts w:ascii="Calibri" w:hAnsi="Calibri"/>
          <w:b w:val="0"/>
          <w:color w:val="3A4A28"/>
          <w:sz w:val="20"/>
        </w:rPr>
        <w:t>Arthur J. Gallagher is a high-quality compounder benefiting from the most disciplined acquisition machine in insurance brokerage. FY2025 revenue grew 20.7% to $13.94B with Q4 revenue up 33.6% to $3.63B following the transformative AssuredPartners acquisition [1]. AJG is led by J. Patrick Gallagher Jr., one of the longest-tenured CEOs in the S&amp;P 500 (30+ years), and operates under 'The Gallagher Way' — a codified 25-tenet cultural framework that has survived multiple leadership generations [2][3]. The company has paid dividends for 40+ years with steady mid-single-digit dividend growth, and AI deployment via 'Digital Sherpas' enhances broker productivity without disruption risk [2]. 2026 guidance of 5.5%-7% organic growth plus 40-60 bps margin expansion plus AssuredPartners synergies positions the company for steady compounding.</w:t>
      </w:r>
    </w:p>
    <w:p>
      <w:pPr>
        <w:spacing w:after="120"/>
      </w:pPr>
      <w:r>
        <w:rPr>
          <w:rFonts w:ascii="Calibri" w:hAnsi="Calibri"/>
          <w:b w:val="0"/>
          <w:color w:val="3A4A28"/>
          <w:sz w:val="20"/>
        </w:rPr>
        <w:t>The bear case centers on integration risk and valuation. Q4 2025 EPS of $0.58 missed consensus of $2.37 by approximately 75%, driven by AssuredPartners integration costs and margin pressure as cost of sales rose faster than revenue [1]. ROE of 6.9% is well below the 15% target and reflects $13B+ of goodwill on the balance sheet from the M&amp;A roll-up — a model that is vulnerable to impairment if organic growth slows [5]. Trailing P/E of 38.8x leaves no room for execution missteps, and forward P/E of 15.0x assumes successful AssuredPartners integration and margin recovery. The dividend yield of ~1.0% is low and limits total return contribution. Insider activity is net selling, with no open-market buys disclosed [3]. Insurance brokerage premium pricing has moderated from the hard market peak, slowing organic growth from prior years' double digits to the mid-single digits guided for 2026.</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KEY CATALYSTS</w:t>
            </w:r>
          </w:p>
        </w:tc>
      </w:tr>
    </w:tbl>
    <w:p>
      <w:pPr>
        <w:spacing w:before="40" w:after="40"/>
        <w:ind w:left="283"/>
      </w:pPr>
      <w:r>
        <w:rPr>
          <w:rFonts w:ascii="Calibri" w:hAnsi="Calibri"/>
          <w:b/>
          <w:color w:val="4A6B25"/>
          <w:sz w:val="20"/>
        </w:rPr>
        <w:t xml:space="preserve">1. </w:t>
      </w:r>
      <w:r>
        <w:rPr>
          <w:rFonts w:ascii="Calibri" w:hAnsi="Calibri"/>
          <w:b w:val="0"/>
          <w:color w:val="3A4A28"/>
          <w:sz w:val="20"/>
        </w:rPr>
        <w:t>AssuredPartners synergies through 2027 — management has guided meaningful synergy capture that should drive margin expansion and EPS recovery from the Q4 2025 trough [1]</w:t>
      </w:r>
    </w:p>
    <w:p>
      <w:pPr>
        <w:spacing w:before="40" w:after="40"/>
        <w:ind w:left="283"/>
      </w:pPr>
      <w:r>
        <w:rPr>
          <w:rFonts w:ascii="Calibri" w:hAnsi="Calibri"/>
          <w:b/>
          <w:color w:val="4A6B25"/>
          <w:sz w:val="20"/>
        </w:rPr>
        <w:t xml:space="preserve">2. </w:t>
      </w:r>
      <w:r>
        <w:rPr>
          <w:rFonts w:ascii="Calibri" w:hAnsi="Calibri"/>
          <w:b w:val="0"/>
          <w:color w:val="3A4A28"/>
          <w:sz w:val="20"/>
        </w:rPr>
        <w:t>Continued tuck-in M&amp;A pipeline — AJG has executed 500+ deals in 30 years and has the balance sheet and sourcing engine to compound through M&amp;A [2]</w:t>
      </w:r>
    </w:p>
    <w:p>
      <w:pPr>
        <w:spacing w:before="40" w:after="40"/>
        <w:ind w:left="283"/>
      </w:pPr>
      <w:r>
        <w:rPr>
          <w:rFonts w:ascii="Calibri" w:hAnsi="Calibri"/>
          <w:b/>
          <w:color w:val="4A6B25"/>
          <w:sz w:val="20"/>
        </w:rPr>
        <w:t xml:space="preserve">3. </w:t>
      </w:r>
      <w:r>
        <w:rPr>
          <w:rFonts w:ascii="Calibri" w:hAnsi="Calibri"/>
          <w:b w:val="0"/>
          <w:color w:val="3A4A28"/>
          <w:sz w:val="20"/>
        </w:rPr>
        <w:t>Digital Sherpas AI rollout improving broker productivity and predictive underwriting accuracy at $200-300M annual tech investment [2]</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DC2626"/>
            </w:tcBorders>
          </w:tcPr>
          <w:p>
            <w:pPr>
              <w:spacing w:before="240" w:after="80"/>
            </w:pPr>
            <w:r>
              <w:rPr>
                <w:rFonts w:ascii="Calibri" w:hAnsi="Calibri"/>
                <w:b/>
                <w:color w:val="6E8450"/>
                <w:sz w:val="17"/>
              </w:rPr>
              <w:t>KEY RISKS</w:t>
            </w:r>
          </w:p>
        </w:tc>
      </w:tr>
    </w:tbl>
    <w:p>
      <w:pPr>
        <w:spacing w:before="40" w:after="40"/>
        <w:ind w:left="283"/>
      </w:pPr>
      <w:r>
        <w:rPr>
          <w:rFonts w:ascii="Calibri" w:hAnsi="Calibri"/>
          <w:b/>
          <w:color w:val="4A6B25"/>
          <w:sz w:val="20"/>
        </w:rPr>
        <w:t xml:space="preserve">1. </w:t>
      </w:r>
      <w:r>
        <w:rPr>
          <w:rFonts w:ascii="Calibri" w:hAnsi="Calibri"/>
          <w:b w:val="0"/>
          <w:color w:val="3A4A28"/>
          <w:sz w:val="20"/>
        </w:rPr>
        <w:t>AssuredPartners integration miss — Q4 2025 EPS missed consensus by ~75% and further integration friction could compress margins through 2026 [1]</w:t>
      </w:r>
    </w:p>
    <w:p>
      <w:pPr>
        <w:spacing w:before="40" w:after="40"/>
        <w:ind w:left="283"/>
      </w:pPr>
      <w:r>
        <w:rPr>
          <w:rFonts w:ascii="Calibri" w:hAnsi="Calibri"/>
          <w:b/>
          <w:color w:val="4A6B25"/>
          <w:sz w:val="20"/>
        </w:rPr>
        <w:t xml:space="preserve">2. </w:t>
      </w:r>
      <w:r>
        <w:rPr>
          <w:rFonts w:ascii="Calibri" w:hAnsi="Calibri"/>
          <w:b w:val="0"/>
          <w:color w:val="3A4A28"/>
          <w:sz w:val="20"/>
        </w:rPr>
        <w:t>Goodwill-heavy balance sheet — $13B+ in acquisition goodwill creates impairment risk if organic growth or insurance pricing weakens [5]</w:t>
      </w:r>
    </w:p>
    <w:p>
      <w:pPr>
        <w:spacing w:before="40" w:after="40"/>
        <w:ind w:left="283"/>
      </w:pPr>
      <w:r>
        <w:rPr>
          <w:rFonts w:ascii="Calibri" w:hAnsi="Calibri"/>
          <w:b/>
          <w:color w:val="4A6B25"/>
          <w:sz w:val="20"/>
        </w:rPr>
        <w:t xml:space="preserve">3. </w:t>
      </w:r>
      <w:r>
        <w:rPr>
          <w:rFonts w:ascii="Calibri" w:hAnsi="Calibri"/>
          <w:b w:val="0"/>
          <w:color w:val="3A4A28"/>
          <w:sz w:val="20"/>
        </w:rPr>
        <w:t>Insurance pricing softening — the hard market that drove 2022-2024 organic growth has moderated, and 2026 organic guidance of 5.5%-7% is below historical pace [1]</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AI RESILIENCE (25%)</w:t>
            </w:r>
          </w:p>
        </w:tc>
      </w:tr>
    </w:tbl>
    <w:p>
      <w:pPr>
        <w:spacing w:before="200" w:after="40"/>
      </w:pPr>
      <w:r>
        <w:rPr>
          <w:rFonts w:ascii="Calibri" w:hAnsi="Calibri"/>
          <w:b/>
          <w:color w:val="1A2010"/>
          <w:sz w:val="22"/>
        </w:rPr>
        <w:t>AI Resilience</w:t>
      </w:r>
      <w:r>
        <w:rPr>
          <w:rFonts w:ascii="Calibri" w:hAnsi="Calibri"/>
          <w:b w:val="0"/>
          <w:color w:val="1A2010"/>
          <w:sz w:val="22"/>
        </w:rPr>
        <w:t xml:space="preserve">  </w:t>
      </w:r>
      <w:r>
        <w:rPr>
          <w:rFonts w:ascii="Calibri" w:hAnsi="Calibri"/>
          <w:b/>
          <w:color w:val="B8860B"/>
          <w:sz w:val="16"/>
        </w:rPr>
        <w:t xml:space="preserve"> MODERATE </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AI Risk Protection (6/9): Insurance brokerage is structurally protected from AI disruption — the business involves regulated intermediation, complex commercial risk advisory, deep client relationships, and proprietary data on claims and pricing that AI alone cannot replace [2]. AJG's 'Digital Sherpas' AI tool actually uses AI as a productivity enhancer for brokers rather than facing AI as a substitute. AI does create some pressure on commodity small-commercial lines and benefits administration, where parametric and direct-to-consumer AI underwriting is emerging. AI Opportunity (1/1): AJG specifically calls out $200-300M in annual tech and innovation investment and quantifies AI tools (Digital Sherpas) used in production for casualty risk prediction [2].</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FAITH ALIGNMENT — INSPIRE INSIGHT</w:t>
            </w:r>
          </w:p>
        </w:tc>
      </w:tr>
    </w:tbl>
    <w:p>
      <w:pPr>
        <w:spacing w:after="40"/>
      </w:pPr>
      <w:r>
        <w:rPr>
          <w:rFonts w:ascii="Calibri" w:hAnsi="Calibri"/>
          <w:b w:val="0"/>
          <w:color w:val="6E8450"/>
          <w:sz w:val="22"/>
        </w:rPr>
        <w:t xml:space="preserve">Inspire Impact Score:  </w:t>
      </w:r>
      <w:r>
        <w:rPr>
          <w:rFonts w:ascii="Calibri" w:hAnsi="Calibri"/>
          <w:b/>
          <w:color w:val="DC2626"/>
          <w:sz w:val="28"/>
        </w:rPr>
        <w:t>-49</w:t>
      </w:r>
      <w:r>
        <w:rPr>
          <w:rFonts w:ascii="Calibri" w:hAnsi="Calibri"/>
          <w:b/>
          <w:color w:val="B8860B"/>
          <w:sz w:val="20"/>
        </w:rPr>
        <w:t xml:space="preserve">    MISALIGNED</w:t>
      </w:r>
    </w:p>
    <w:p>
      <w:pPr>
        <w:spacing w:before="80" w:after="40"/>
      </w:pPr>
      <w:r>
        <w:rPr>
          <w:rFonts w:ascii="Calibri" w:hAnsi="Calibri"/>
          <w:b/>
          <w:color w:val="6E8450"/>
          <w:sz w:val="18"/>
        </w:rPr>
        <w:t xml:space="preserve">Negative: </w:t>
      </w:r>
      <w:r>
        <w:rPr>
          <w:rFonts w:ascii="Calibri" w:hAnsi="Calibri"/>
          <w:b/>
          <w:color w:val="DC2626"/>
          <w:sz w:val="17"/>
        </w:rPr>
        <w:t xml:space="preserve"> LGBT Activism </w:t>
      </w:r>
    </w:p>
    <w:p>
      <w:pPr>
        <w:spacing w:before="80" w:after="40"/>
      </w:pPr>
      <w:r>
        <w:rPr>
          <w:rFonts w:ascii="Calibri" w:hAnsi="Calibri"/>
          <w:b/>
          <w:color w:val="6E8450"/>
          <w:sz w:val="18"/>
        </w:rPr>
        <w:t xml:space="preserve">Positive: </w:t>
      </w:r>
      <w:r>
        <w:rPr>
          <w:rFonts w:ascii="Calibri" w:hAnsi="Calibri"/>
          <w:b/>
          <w:color w:val="16A34A"/>
          <w:sz w:val="17"/>
        </w:rPr>
        <w:t xml:space="preserve"> Business Resilience </w:t>
      </w:r>
      <w:r>
        <w:rPr>
          <w:rFonts w:ascii="Calibri" w:hAnsi="Calibri"/>
          <w:b w:val="0"/>
          <w:color w:val="9DAF88"/>
          <w:sz w:val="17"/>
        </w:rPr>
        <w:t xml:space="preserve">  ·  </w:t>
      </w:r>
      <w:r>
        <w:rPr>
          <w:rFonts w:ascii="Calibri" w:hAnsi="Calibri"/>
          <w:b/>
          <w:color w:val="16A34A"/>
          <w:sz w:val="17"/>
        </w:rPr>
        <w:t xml:space="preserve"> Employee Wellbeing </w:t>
      </w:r>
      <w:r>
        <w:rPr>
          <w:rFonts w:ascii="Calibri" w:hAnsi="Calibri"/>
          <w:b w:val="0"/>
          <w:color w:val="9DAF88"/>
          <w:sz w:val="17"/>
        </w:rPr>
        <w:t xml:space="preserve">  ·  </w:t>
      </w:r>
      <w:r>
        <w:rPr>
          <w:rFonts w:ascii="Calibri" w:hAnsi="Calibri"/>
          <w:b/>
          <w:color w:val="16A34A"/>
          <w:sz w:val="17"/>
        </w:rPr>
        <w:t xml:space="preserve"> Energy Management </w:t>
      </w:r>
      <w:r>
        <w:rPr>
          <w:rFonts w:ascii="Calibri" w:hAnsi="Calibri"/>
          <w:b w:val="0"/>
          <w:color w:val="9DAF88"/>
          <w:sz w:val="17"/>
        </w:rPr>
        <w:t xml:space="preserve">  ·  </w:t>
      </w:r>
      <w:r>
        <w:rPr>
          <w:rFonts w:ascii="Calibri" w:hAnsi="Calibri"/>
          <w:b/>
          <w:color w:val="16A34A"/>
          <w:sz w:val="17"/>
        </w:rPr>
        <w:t xml:space="preserve"> Ethical Sales Practices </w:t>
      </w:r>
      <w:r>
        <w:rPr>
          <w:rFonts w:ascii="Calibri" w:hAnsi="Calibri"/>
          <w:b w:val="0"/>
          <w:color w:val="9DAF88"/>
          <w:sz w:val="17"/>
        </w:rPr>
        <w:t xml:space="preserve">  ·  </w:t>
      </w:r>
      <w:r>
        <w:rPr>
          <w:rFonts w:ascii="Calibri" w:hAnsi="Calibri"/>
          <w:b/>
          <w:color w:val="16A34A"/>
          <w:sz w:val="17"/>
        </w:rPr>
        <w:t xml:space="preserve"> Ethical Supply Chain Management </w:t>
      </w:r>
      <w:r>
        <w:rPr>
          <w:rFonts w:ascii="Calibri" w:hAnsi="Calibri"/>
          <w:b w:val="0"/>
          <w:color w:val="9DAF88"/>
          <w:sz w:val="17"/>
        </w:rPr>
        <w:t xml:space="preserve">  ·  </w:t>
      </w:r>
      <w:r>
        <w:rPr>
          <w:rFonts w:ascii="Calibri" w:hAnsi="Calibri"/>
          <w:b/>
          <w:color w:val="16A34A"/>
          <w:sz w:val="17"/>
        </w:rPr>
        <w:t xml:space="preserve"> Hiring Ethics </w:t>
      </w:r>
      <w:r>
        <w:rPr>
          <w:rFonts w:ascii="Calibri" w:hAnsi="Calibri"/>
          <w:b w:val="0"/>
          <w:color w:val="9DAF88"/>
          <w:sz w:val="17"/>
        </w:rPr>
        <w:t xml:space="preserve">  ·  </w:t>
      </w:r>
      <w:r>
        <w:rPr>
          <w:rFonts w:ascii="Calibri" w:hAnsi="Calibri"/>
          <w:b/>
          <w:color w:val="16A34A"/>
          <w:sz w:val="17"/>
        </w:rPr>
        <w:t xml:space="preserve"> Regulatory Adherence </w:t>
      </w:r>
      <w:r>
        <w:rPr>
          <w:rFonts w:ascii="Calibri" w:hAnsi="Calibri"/>
          <w:b w:val="0"/>
          <w:color w:val="9DAF88"/>
          <w:sz w:val="17"/>
        </w:rPr>
        <w:t xml:space="preserve">  ·  </w:t>
      </w:r>
      <w:r>
        <w:rPr>
          <w:rFonts w:ascii="Calibri" w:hAnsi="Calibri"/>
          <w:b/>
          <w:color w:val="16A34A"/>
          <w:sz w:val="17"/>
        </w:rPr>
        <w:t xml:space="preserve"> Waste and Hazmat Management </w:t>
      </w:r>
      <w:r>
        <w:rPr>
          <w:rFonts w:ascii="Calibri" w:hAnsi="Calibri"/>
          <w:b w:val="0"/>
          <w:color w:val="9DAF88"/>
          <w:sz w:val="17"/>
        </w:rPr>
        <w:t xml:space="preserve">  ·  </w:t>
      </w:r>
      <w:r>
        <w:rPr>
          <w:rFonts w:ascii="Calibri" w:hAnsi="Calibri"/>
          <w:b/>
          <w:color w:val="16A34A"/>
          <w:sz w:val="17"/>
        </w:rPr>
        <w:t xml:space="preserve"> Water Conservation </w:t>
      </w:r>
    </w:p>
    <w:p>
      <w:pPr>
        <w:spacing w:before="120"/>
      </w:pPr>
      <w:r>
        <w:rPr>
          <w:rFonts w:ascii="Calibri" w:hAnsi="Calibri"/>
          <w:b w:val="0"/>
          <w:color w:val="9DAF88"/>
          <w:sz w:val="15"/>
        </w:rPr>
        <w:t>Source: Inspire Insight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RESOURCES</w:t>
            </w:r>
          </w:p>
        </w:tc>
      </w:tr>
    </w:tbl>
    <w:p>
      <w:pPr>
        <w:spacing w:before="20" w:after="20"/>
        <w:ind w:left="170"/>
      </w:pPr>
      <w:r>
        <w:rPr>
          <w:rFonts w:ascii="Calibri" w:hAnsi="Calibri"/>
          <w:b/>
          <w:color w:val="4A6B25"/>
          <w:sz w:val="15"/>
        </w:rPr>
        <w:t xml:space="preserve">1. </w:t>
      </w:r>
      <w:r>
        <w:rPr>
          <w:rFonts w:ascii="Calibri" w:hAnsi="Calibri"/>
          <w:b w:val="0"/>
          <w:color w:val="3A4A28"/>
          <w:sz w:val="17"/>
        </w:rPr>
        <w:t>Arthur J. Gallagher Q4 2025 Earnings Release — $3.63B revenue (+33.6%), EPS $0.58, AssuredPartners integration, January 2026</w:t>
      </w:r>
    </w:p>
    <w:p>
      <w:pPr>
        <w:spacing w:before="20" w:after="20"/>
        <w:ind w:left="170"/>
      </w:pPr>
      <w:r>
        <w:rPr>
          <w:rFonts w:ascii="Calibri" w:hAnsi="Calibri"/>
          <w:b/>
          <w:color w:val="4A6B25"/>
          <w:sz w:val="15"/>
        </w:rPr>
        <w:t xml:space="preserve">2. </w:t>
      </w:r>
      <w:r>
        <w:rPr>
          <w:rFonts w:ascii="Calibri" w:hAnsi="Calibri"/>
          <w:b w:val="0"/>
          <w:color w:val="3A4A28"/>
          <w:sz w:val="17"/>
        </w:rPr>
        <w:t>Klover.ai / FinancialContent — AJG AI strategy, Digital Sherpas, $200-300M annual tech investment, 2026</w:t>
      </w:r>
    </w:p>
    <w:p>
      <w:pPr>
        <w:spacing w:before="20" w:after="20"/>
        <w:ind w:left="170"/>
      </w:pPr>
      <w:r>
        <w:rPr>
          <w:rFonts w:ascii="Calibri" w:hAnsi="Calibri"/>
          <w:b/>
          <w:color w:val="4A6B25"/>
          <w:sz w:val="15"/>
        </w:rPr>
        <w:t xml:space="preserve">3. </w:t>
      </w:r>
      <w:r>
        <w:rPr>
          <w:rFonts w:ascii="Calibri" w:hAnsi="Calibri"/>
          <w:b w:val="0"/>
          <w:color w:val="3A4A28"/>
          <w:sz w:val="17"/>
        </w:rPr>
        <w:t>AJG Wikipedia / company filings — The Gallagher Way 25 cultural tenets and 90+ year history</w:t>
      </w:r>
    </w:p>
    <w:p>
      <w:pPr>
        <w:spacing w:before="20" w:after="20"/>
        <w:ind w:left="170"/>
      </w:pPr>
      <w:r>
        <w:rPr>
          <w:rFonts w:ascii="Calibri" w:hAnsi="Calibri"/>
          <w:b/>
          <w:color w:val="4A6B25"/>
          <w:sz w:val="15"/>
        </w:rPr>
        <w:t xml:space="preserve">4. </w:t>
      </w:r>
      <w:r>
        <w:rPr>
          <w:rFonts w:ascii="Calibri" w:hAnsi="Calibri"/>
          <w:b w:val="0"/>
          <w:color w:val="3A4A28"/>
          <w:sz w:val="17"/>
        </w:rPr>
        <w:t>AJG Investor Relations and ESG disclosures — sustainability and insider activity (Form 4 filings), accessed April 2026</w:t>
      </w:r>
    </w:p>
    <w:p>
      <w:pPr>
        <w:spacing w:before="20" w:after="20"/>
        <w:ind w:left="170"/>
      </w:pPr>
      <w:r>
        <w:rPr>
          <w:rFonts w:ascii="Calibri" w:hAnsi="Calibri"/>
          <w:b/>
          <w:color w:val="4A6B25"/>
          <w:sz w:val="15"/>
        </w:rPr>
        <w:t xml:space="preserve">5. </w:t>
      </w:r>
      <w:r>
        <w:rPr>
          <w:rFonts w:ascii="Calibri" w:hAnsi="Calibri"/>
          <w:b w:val="0"/>
          <w:color w:val="3A4A28"/>
          <w:sz w:val="17"/>
        </w:rPr>
        <w:t>Yahoo Finance / yfinance data for AJG, retrieved April 14, 2026</w:t>
      </w:r>
    </w:p>
    <w:p>
      <w:pPr>
        <w:spacing w:before="400"/>
        <w:jc w:val="center"/>
      </w:pPr>
      <w:r>
        <w:rPr>
          <w:rFonts w:ascii="Calibri" w:hAnsi="Calibri"/>
          <w:b w:val="0"/>
          <w:color w:val="9DAF88"/>
          <w:sz w:val="16"/>
        </w:rPr>
        <w:t>Paradiem, LLC dba Intentional Ownership (“IOWN”) is a registered investment advisor. The information provided is for educational and informational purposes only and does not constitute investment advice.</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