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ALC</w:t>
      </w:r>
      <w:r>
        <w:rPr>
          <w:rFonts w:ascii="Calibri" w:hAnsi="Calibri"/>
          <w:b/>
          <w:color w:val="1A2010"/>
          <w:sz w:val="40"/>
        </w:rPr>
        <w:t xml:space="preserve">  Alcon Inc.</w:t>
      </w:r>
    </w:p>
    <w:p>
      <w:pPr>
        <w:spacing w:after="120"/>
      </w:pPr>
      <w:r>
        <w:rPr>
          <w:rFonts w:ascii="Calibri" w:hAnsi="Calibri"/>
          <w:b/>
          <w:color w:val="6E8450"/>
          <w:sz w:val="18"/>
        </w:rPr>
        <w:t>GROWTH SLEEVE · 2026-04-24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Switzerland</w:t>
      </w:r>
    </w:p>
    <w:p>
      <w:pPr>
        <w:spacing w:after="80"/>
      </w:pPr>
      <w:r>
        <w:rPr>
          <w:rFonts w:ascii="Calibri" w:hAnsi="Calibri"/>
          <w:b w:val="0"/>
          <w:color w:val="3A4A28"/>
          <w:sz w:val="20"/>
        </w:rPr>
        <w:t>Alcon researches, develops, manufactures, and sells eye care products worldwide through two segments: Surgical (cataract, vitreoretinal, and refractive surgery equipment and consumables) and Vision Care (contact lenses, ocular health products). Founded in 1945, spun off from Novartis in 2019, and headquartered in Geneva, Switzerland.</w:t>
      </w:r>
    </w:p>
    <w:p>
      <w:r>
        <w:rPr>
          <w:rFonts w:ascii="Calibri" w:hAnsi="Calibri"/>
          <w:b/>
          <w:color w:val="6E8450"/>
          <w:sz w:val="18"/>
        </w:rPr>
        <w:t>25,942 Employees · https://www.alcon.com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Alcon delivered Q4 2025 sales of $2.7B, up 9% reported and 7% constant currency, driven by new product launches across both Surgical and Vision Care segments [1]. The company grew full-year 2025 revenue to $10.4B (up 4.9% YoY) but earnings declined with core EPS growth of just 1% [1]. AI Deployment (1/2): Alcon has 16 AI-related patents and is deploying AI-powered surgical guidance systems including the ARGOS biometer and SMARTCATARACT digital health platform, though measurable revenue attribution remains unclear [3]. Market Share (2/2): Alcon is the global leader in ophthalmic surgical equipment and the #1 or #2 player in cataract surgery, contact lenses, and ocular health — a dominant position in a $40B+ eye care market [1]. Pipeline (1/2): Next-gen IOLs and the Unity CS platform are driving surgical adoption, but specific launch dates and revenue visibility are limited beyond general R&amp;D commentary [1]. R&amp;D Intensity (0/1): R&amp;D spending is approximately 7% of revenue, which is at industry average for medical devices rather than above it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Alcon's mission 'to help people See Brilliantly' is specific, purposeful, and connects eye care products to human quality of life — a genuine and differentiated purpose that guides product development, though it hasn't been tested through multi-decade strategic pivots since the company was only independent since 2019 [4]. Community Impact (1/2): Alcon Foundation supports sight-related charitable programs globally and the company's Corporate Responsibility report covers environmental stewardship and community investment, though specific dollar amounts for charitable giving are not prominently disclosed [4]. Employee Retention (0/2): Glassdoor reviews reveal mixed sentiment with complaints about poor leadership communication, favoritism, and limited growth opportunities — no evidence of above-average retention or tenure data [3]. Insider Buying (1/2): No meaningful net insider buying in the last 6 months (0 purchases, 0 sales reported), suggesting neutral insider conviction rather than active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Alcon's financial profile shows strong balance sheet quality with D/E of only 23.8% and a favorable Forward P/E of 19.3x, scoring well on valuation and leverage metrics [5]. Revenue growth is solid at 8.6% YoY and 8.9% 5yr CAGR, approaching the 10% target [1]. The key weaknesses are low ROE of 4.5% (well below 15% target) reflecting Alcon's heavy asset base and post-spin-off capital structure, and a modest profit margin of 9.4% (below the 20% target) [5]. Forward PEG of 1.7 is reasonable for a medical device company but not exceptional. Liquidity floor cleared easily at $123.9M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Alcon exhibits mixed infinite game characteristics — a clear purpose in eye care ('See Brilliantly') and long institutional history dating to 1945, but as an independent company only since 2019, it is still establishing its identity and long-term strategic track record under CEO David Endicott.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Alcon's 'See Brilliantly' purpose connects eye care innovation to human quality of life — specific, service-oriented, and enduring [4]. However, as an independent company for only 7 years post-Novartis spin-off, this cause hasn't been tested through multiple market cycles or leadership transitions. The cause is genuine but not yet validated by decades of independent execution.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concerns about leadership communication, favoritism, and limited professional development [3]. However, the company maintains 25,942 employees across global operations with CEO Endicott providing 7+ years of leadership stability. The culture appears adequate but not exceptional — a typical large medical device company environment.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 competes with Johnson &amp; Johnson Vision, Bausch + Lomb, and CooperVision, and management discussions reference competitive dynamics in terms of product innovation and clinical outcomes rather than market share warfare [1]. The company's focus on advancing surgical technology and outcomes suggests a learning-oriented competitive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 has been a focused eye care company since 1945 and has not undergone a transformative pivot — it has incrementally expanded within its domain from pharmaceuticals to surgical devices to contact lenses [1]. The Novartis spin-off was imposed, not chosen. As a single-focus medical device company, existential flexibility hasn't been tested.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Endicott has invested in digital platforms (SMARTCATARACT, ADI cloud) and the $100M efficiency program for 2026 shows willingness to restructure [1]. However, the post-spin-off period has been primarily about operational optimization rather than making costly long-term bets that sacrifice near-term earnings. The 2026 guidance prioritizes EPS growth of 9-12%, suggesting a balanced but not notably courageous approach.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Alcon is the global leader in eye care with $10.4B in 2025 revenue, dominant positions in cataract surgery equipment and contact lenses, and an accelerating product cycle driving Q4 2025 sales growth of 9% [1]. The aging global population creates a secular tailwind for cataract and refractive surgery demand, while premium IOLs and digital surgical platforms provide pricing power and recurring revenue. Forward P/E of 19.3x is attractive for a healthcare franchise with high barriers to entry, and 2026 guidance of 9-12% core EPS growth signals management confidence in continued margin expansion [1]. The $100M efficiency program and new product launches should drive operating leverage through 2026-2027.</w:t>
      </w:r>
    </w:p>
    <w:p>
      <w:pPr>
        <w:spacing w:after="120"/>
      </w:pPr>
      <w:r>
        <w:rPr>
          <w:rFonts w:ascii="Calibri" w:hAnsi="Calibri"/>
          <w:b w:val="0"/>
          <w:color w:val="3A4A28"/>
          <w:sz w:val="20"/>
        </w:rPr>
        <w:t>The bear case centers on low profitability and modest growth for a premium valuation. Profit margin of 9.4% and ROE of 4.5% are weak for a medical device leader, reflecting a heavy manufacturing cost structure and ongoing post-spin-off investment [5]. Full-year 2025 revenue growth of only 4.9% and core EPS growth of 1% fell short of peers. Currency headwinds (Swiss-headquartered, global revenues) create earnings volatility, and the trailing P/E of 38x demands consistent execution. Competition from J&amp;J Vision and emerging Chinese surgical device manufacturers could pressure margins. The dividend yield of 0.44% provides no income cushion for patient investors waiting for the growth story to fully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new product launches including next-gen premium IOLs and the Unity CS cataract platform driving surgical revenue mix-up and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2026 efficiency program targeting $100M in annualized run-rate savings, providing operating leverage and EPS acceleration to the guided 9-12% growth range [1]</w:t>
      </w:r>
    </w:p>
    <w:p>
      <w:pPr>
        <w:spacing w:before="40" w:after="40"/>
        <w:ind w:left="283"/>
      </w:pPr>
      <w:r>
        <w:rPr>
          <w:rFonts w:ascii="Calibri" w:hAnsi="Calibri"/>
          <w:b/>
          <w:color w:val="4A6B25"/>
          <w:sz w:val="20"/>
        </w:rPr>
        <w:t xml:space="preserve">3. </w:t>
      </w:r>
      <w:r>
        <w:rPr>
          <w:rFonts w:ascii="Calibri" w:hAnsi="Calibri"/>
          <w:b w:val="0"/>
          <w:color w:val="3A4A28"/>
          <w:sz w:val="20"/>
        </w:rPr>
        <w:t>Aging global population creating secular demand growth for cataract surgery — the world's most common surgical procedure with 30M+ annually and growing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Low ROE of 4.5% and profit margin of 9.4% suggest structural profitability challenges that may persist despite efficiency initiatives, limiting valuation re-rating potential [5]</w:t>
      </w:r>
    </w:p>
    <w:p>
      <w:pPr>
        <w:spacing w:before="40" w:after="40"/>
        <w:ind w:left="283"/>
      </w:pPr>
      <w:r>
        <w:rPr>
          <w:rFonts w:ascii="Calibri" w:hAnsi="Calibri"/>
          <w:b/>
          <w:color w:val="4A6B25"/>
          <w:sz w:val="20"/>
        </w:rPr>
        <w:t xml:space="preserve">2. </w:t>
      </w:r>
      <w:r>
        <w:rPr>
          <w:rFonts w:ascii="Calibri" w:hAnsi="Calibri"/>
          <w:b w:val="0"/>
          <w:color w:val="3A4A28"/>
          <w:sz w:val="20"/>
        </w:rPr>
        <w:t>Currency headwinds from Swiss franc-denominated cost base against global revenues could compress reported earnings growth in a strong-franc environment [1]</w:t>
      </w:r>
    </w:p>
    <w:p>
      <w:pPr>
        <w:spacing w:before="40" w:after="40"/>
        <w:ind w:left="283"/>
      </w:pPr>
      <w:r>
        <w:rPr>
          <w:rFonts w:ascii="Calibri" w:hAnsi="Calibri"/>
          <w:b/>
          <w:color w:val="4A6B25"/>
          <w:sz w:val="20"/>
        </w:rPr>
        <w:t xml:space="preserve">3. </w:t>
      </w:r>
      <w:r>
        <w:rPr>
          <w:rFonts w:ascii="Calibri" w:hAnsi="Calibri"/>
          <w:b w:val="0"/>
          <w:color w:val="3A4A28"/>
          <w:sz w:val="20"/>
        </w:rPr>
        <w:t>Emerging competition from Chinese medical device manufacturers in developing markets could pressure Alcon's pricing power in surgical consumables and IOLs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Alcon's core business — manufacturing ophthalmic surgical equipment, IOLs, and performing physical eye care procedures — is structurally immune to AI substitution [3]. AI cannot replace cataract surgery, contact lens manufacturing, or the physical supply chain for surgical consumables. The regulated medical device space requires FDA/CE clearances that create additional barriers. AI actually enhances Alcon's value proposition through surgical guidance and diagnostics, increasing demand for its platform rather than threatening it [3]. AI Opportunity (1/1): Alcon is generating revenue from AI-integrated surgical platforms including the ARGOS biometer, SMARTCATARACT digital health platform, and NGENUITY 3D visualization system, with 16 AI patents filed — these represent tangible AI-enabled products shipping to surgeon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Alcon Q4 2025 Earnings Release — $2.7B revenue, 9% growth, 2026 guidance of 9-12% core EPS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Alcon Full-Year 2025 Results — $10.4B revenue, core EPS $3.07, new product launches, February 2026</w:t>
      </w:r>
    </w:p>
    <w:p>
      <w:pPr>
        <w:spacing w:before="20" w:after="20"/>
        <w:ind w:left="170"/>
      </w:pPr>
      <w:r>
        <w:rPr>
          <w:rFonts w:ascii="Calibri" w:hAnsi="Calibri"/>
          <w:b/>
          <w:color w:val="4A6B25"/>
          <w:sz w:val="15"/>
        </w:rPr>
        <w:t xml:space="preserve">3. </w:t>
      </w:r>
      <w:r>
        <w:rPr>
          <w:rFonts w:ascii="Calibri" w:hAnsi="Calibri"/>
          <w:b w:val="0"/>
          <w:color w:val="3A4A28"/>
          <w:sz w:val="17"/>
        </w:rPr>
        <w:t>Alcon AI Innovation Strategy and Digital Health Platforms — ARGOS, SMARTCATARACT, 16 AI patents, Medical Device Network</w:t>
      </w:r>
    </w:p>
    <w:p>
      <w:pPr>
        <w:spacing w:before="20" w:after="20"/>
        <w:ind w:left="170"/>
      </w:pPr>
      <w:r>
        <w:rPr>
          <w:rFonts w:ascii="Calibri" w:hAnsi="Calibri"/>
          <w:b/>
          <w:color w:val="4A6B25"/>
          <w:sz w:val="15"/>
        </w:rPr>
        <w:t xml:space="preserve">4. </w:t>
      </w:r>
      <w:r>
        <w:rPr>
          <w:rFonts w:ascii="Calibri" w:hAnsi="Calibri"/>
          <w:b w:val="0"/>
          <w:color w:val="3A4A28"/>
          <w:sz w:val="17"/>
        </w:rPr>
        <w:t>Alcon Corporate Responsibility Report and 'See Brilliantly' Mission — investor.alcon.com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ALC (Alcon Inc.),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