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ALDX</w:t>
      </w:r>
      <w:r>
        <w:rPr>
          <w:rFonts w:ascii="Calibri" w:hAnsi="Calibri"/>
          <w:b/>
          <w:color w:val="1A2010"/>
          <w:sz w:val="40"/>
        </w:rPr>
        <w:t xml:space="preserve">  Aldeyra Therapeutics, Inc.</w:t>
      </w:r>
    </w:p>
    <w:p>
      <w:pPr>
        <w:spacing w:after="120"/>
      </w:pPr>
      <w:r>
        <w:rPr>
          <w:rFonts w:ascii="Calibri" w:hAnsi="Calibri"/>
          <w:b/>
          <w:color w:val="6E8450"/>
          <w:sz w:val="18"/>
        </w:rPr>
        <w:t>GROWTH SLEEVE · 2026-04-12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Aldeyra Therapeutics is a clinical-stage biotech focused on immune-mediated diseases, with its lead asset reproxalap (topical ocular RASP modulator) targeting dry eye disease. The company also has ADX-2191 (intravitreal methotrexate) for rare retinal conditions and an AbbVie option agreement tied to reproxalap approval.</w:t>
      </w:r>
    </w:p>
    <w:p>
      <w:r>
        <w:rPr>
          <w:rFonts w:ascii="Calibri" w:hAnsi="Calibri"/>
          <w:b/>
          <w:color w:val="6E8450"/>
          <w:sz w:val="18"/>
        </w:rPr>
        <w:t>50 Employees · https://www.aldeyra.com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On March 17, 2026, the FDA issued a third Complete Response Letter for reproxalap — citing 'a lack of substantial evidence' and failure to demonstrate efficacy — representing the third rejection of the company's lead asset [1][3]. Stock fell ~70.7% on the news. This is the opposite of a successful track record. AI Deployment (0/2): No AI products or internal AI deployment reported. Market Share (0/2): No approved products, no market share. Pipeline (1/2): ADX-2191 for rare retinal conditions and the AbbVie option ($100M upfront potential, up to $300M milestones, 60/40 US profit split) remain, but AbbVie option exercise is tied to reproxalap approval — which the FDA has now rejected three times [1]. R&amp;D Intensity (1/1): As a clinical-stage biotech with zero revenue, R&amp;D is ~100% of spend by default.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Company articulates a mission to 'develop innovative therapies for immune-mediated diseases' — clear but not distinctive versus peers [2]. Community Impact (0/2): No meaningful community investment or charitable programs cited for a 50-person clinical-stage biotech. Employee Retention (1/2): CEO Todd Brady has been in role since 2012 (13+ year tenure) representing executive stability [2]; no broader retention data. Insider Buying (0/2): Multiple securities class action lawsuits filed in March 2026 allege management overstated drug approval prospects — this is materially worse than a simple lack of insider buying and damages inspiration credibility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ALDX is a zero-revenue clinical-stage biotech with trailing 12-month revenue null and TTM EPS of -$0.56 [1]. Market cap collapsed to ~$102M on 60.2M shares after the March 17, 2026 CRL [1]. ROE and profit margin both negative; no dividend. Cash runway depends on remaining balance sheet following the third reproxalap failure. Stock price ~$1.70 after 75% drawdown, liquidity potentially marginal: even at ~2M avg daily volume × $1.70 = ~$3.4M — clears the $1M floor but narrowly. Pure binary clinical-stage risk profile scores near the bottom of the Infrastructure rubric.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Aldeyra is a single-asset clinical-stage biotech that has been rejected by the FDA three times on its lead program. Three CRLs, securities fraud class actions alleging management misled investors, and 75% stock collapse are the opposite of the infinite game — this is a company whose survival is now in question.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Aldeyra's cause of developing therapies for immune-mediated diseases like dry eye is real and underserved, but the cause has not been validated by execution — three FDA rejections of the lead asset means the company has not been able to deliver on its purpose despite 14 years of effort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2026 securities class action lawsuits allege that Aldeyra 'failed to disclose that the results of the reproxalap clinical trials were inconsistent' — if proven, this would represent a fundamental breach of the trust leadership owes to employees, shareholders, and patients [3]. CEO 13-year tenure is the sole positive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learning mindset; ALDX has framed reproxalap as a first-in-class RASP modulator but appears not to have learned from competitors' more rigorous trial design approaches — consistent FDA feedback across three rejections about study inconsistency suggests a failure to adapt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Rather than pivoting after the first CRL, ALDX pursued two additional reproxalap resubmissions over multiple years, ending in a third rejection citing the same efficacy issues [1][3]. This is rigidity,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Todd Brady's 14-year tenure reflects stability but not the kind of courage Sinek describes — after three FDA rejections and securities fraud allegations, shareholders might reasonably ask whether leadership had the courage to acknowledge trial data inconsistency earlier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Aldeyra is a post-binary failure clinical-stage biotech. The bull case is narrow: surviving assets include ADX-2191 (intravitreal methotrexate for rare retinal conditions) and the AbbVie option on reproxalap that could deliver $100M upfront plus up to $300M in milestones and a 40% US profit share IF reproxalap ever gets approved [1]. At a ~$102M market cap post-crash, the stock trades near net cash, meaning the market is assigning close to zero value to the drug portfolio. Theoretically a successful reproxalap resubmission (fourth attempt) or a positive readout from ADX-2191 could trigger a bounce [1]. For speculators, the optionality exists at a depressed valuation.</w:t>
      </w:r>
    </w:p>
    <w:p>
      <w:pPr>
        <w:spacing w:after="120"/>
      </w:pPr>
      <w:r>
        <w:rPr>
          <w:rFonts w:ascii="Calibri" w:hAnsi="Calibri"/>
          <w:b w:val="0"/>
          <w:color w:val="3A4A28"/>
          <w:sz w:val="20"/>
        </w:rPr>
        <w:t>Bear case dominates: On March 17, 2026, the FDA issued the third Complete Response Letter on reproxalap, stating 'a lack of substantial evidence' and that the application 'has failed to demonstrate efficacy in adequate and well controlled studies' [1][3]. The stock fell ~70.7% on the news. Multiple securities class action lawsuits have been filed alleging management overstated drug approval prospects and failed to disclose inconsistent trial results between November 2023 and March 2026 — this creates material legal liability on top of the clinical setback [3]. With no approved products, no commercial revenue, negative TTM EPS of -$0.56, and the AbbVie option tied to reproxalap approval (which has now been rejected three times), the path to cash flow is highly uncertain [1]. Sustainalytics rates management of ESG material risk as 'weak.' IOWN should not own a post-CRL clinical-stage biotech with active securities fraud litigation.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fourth reproxalap resubmission with new clinical data addressing FDA efficacy concerns — timeline and feasibility uncertain after third CRL [1]</w:t>
      </w:r>
    </w:p>
    <w:p>
      <w:pPr>
        <w:spacing w:before="40" w:after="40"/>
        <w:ind w:left="283"/>
      </w:pPr>
      <w:r>
        <w:rPr>
          <w:rFonts w:ascii="Calibri" w:hAnsi="Calibri"/>
          <w:b/>
          <w:color w:val="4A6B25"/>
          <w:sz w:val="20"/>
        </w:rPr>
        <w:t xml:space="preserve">2. </w:t>
      </w:r>
      <w:r>
        <w:rPr>
          <w:rFonts w:ascii="Calibri" w:hAnsi="Calibri"/>
          <w:b w:val="0"/>
          <w:color w:val="3A4A28"/>
          <w:sz w:val="20"/>
        </w:rPr>
        <w:t>ADX-2191 development updates for rare retinal conditions — smaller market but potentially de-risked regulatory path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alternatives — sale of the company, asset divestiture, or merger — given depressed ~$102M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FDA Complete Response Letter on reproxalap (March 17, 2026) citing lack of substantial evidence — 75% stock collapse and program future in question [1][3]</w:t>
      </w:r>
    </w:p>
    <w:p>
      <w:pPr>
        <w:spacing w:before="40" w:after="40"/>
        <w:ind w:left="283"/>
      </w:pPr>
      <w:r>
        <w:rPr>
          <w:rFonts w:ascii="Calibri" w:hAnsi="Calibri"/>
          <w:b/>
          <w:color w:val="4A6B25"/>
          <w:sz w:val="20"/>
        </w:rPr>
        <w:t xml:space="preserve">2. </w:t>
      </w:r>
      <w:r>
        <w:rPr>
          <w:rFonts w:ascii="Calibri" w:hAnsi="Calibri"/>
          <w:b w:val="0"/>
          <w:color w:val="3A4A28"/>
          <w:sz w:val="20"/>
        </w:rPr>
        <w:t>Active securities fraud class action lawsuits alleging management misled investors about trial results between November 2023 and March 2026 — material legal liability [3]</w:t>
      </w:r>
    </w:p>
    <w:p>
      <w:pPr>
        <w:spacing w:before="40" w:after="40"/>
        <w:ind w:left="283"/>
      </w:pPr>
      <w:r>
        <w:rPr>
          <w:rFonts w:ascii="Calibri" w:hAnsi="Calibri"/>
          <w:b/>
          <w:color w:val="4A6B25"/>
          <w:sz w:val="20"/>
        </w:rPr>
        <w:t xml:space="preserve">3. </w:t>
      </w:r>
      <w:r>
        <w:rPr>
          <w:rFonts w:ascii="Calibri" w:hAnsi="Calibri"/>
          <w:b w:val="0"/>
          <w:color w:val="3A4A28"/>
          <w:sz w:val="20"/>
        </w:rPr>
        <w:t>Cash runway and going-concern risk — zero commercial revenue, dependence on capital markets for financing after lead asset triple rejection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Therapeutic drug development is highly regulated, biology-dependent, and not easily replaced by AI tools — AI may accelerate parts of discovery but cannot substitute for clinical trials, FDA approval, or patient treatment [1]. Small-molecule ophthalmology drug discovery is defensible against AI disruption. AI Opportunity (0/1): No meaningful AI revenue — ALDX does not sell AI-enabled products and is not publicly deploying AI drug discovery platforms in a way that generates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Aldeyra Therapeutics FDA Complete Response Letter announcement — third CRL on reproxalap, March 17, 2026; Q3 2025 10-Q</w:t>
      </w:r>
    </w:p>
    <w:p>
      <w:pPr>
        <w:spacing w:before="20" w:after="20"/>
        <w:ind w:left="170"/>
      </w:pPr>
      <w:r>
        <w:rPr>
          <w:rFonts w:ascii="Calibri" w:hAnsi="Calibri"/>
          <w:b/>
          <w:color w:val="4A6B25"/>
          <w:sz w:val="15"/>
        </w:rPr>
        <w:t xml:space="preserve">2. </w:t>
      </w:r>
      <w:r>
        <w:rPr>
          <w:rFonts w:ascii="Calibri" w:hAnsi="Calibri"/>
          <w:b w:val="0"/>
          <w:color w:val="3A4A28"/>
          <w:sz w:val="17"/>
        </w:rPr>
        <w:t>Aldeyra Therapeutics leadership page and corporate profile — Todd Brady CEO since 2012, 50 employees</w:t>
      </w:r>
    </w:p>
    <w:p>
      <w:pPr>
        <w:spacing w:before="20" w:after="20"/>
        <w:ind w:left="170"/>
      </w:pPr>
      <w:r>
        <w:rPr>
          <w:rFonts w:ascii="Calibri" w:hAnsi="Calibri"/>
          <w:b/>
          <w:color w:val="4A6B25"/>
          <w:sz w:val="15"/>
        </w:rPr>
        <w:t xml:space="preserve">3. </w:t>
      </w:r>
      <w:r>
        <w:rPr>
          <w:rFonts w:ascii="Calibri" w:hAnsi="Calibri"/>
          <w:b w:val="0"/>
          <w:color w:val="3A4A28"/>
          <w:sz w:val="17"/>
        </w:rPr>
        <w:t>Securities class action lawsuits filed against Aldeyra Therapeutics by multiple firms (Kirby McInerney, Robbins, Wolf Haldenstein, Levi &amp; Korsinsky), March-April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for Aldeyra Therapeutics — 'weak' management of ESG material risk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