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ALEC</w:t>
      </w:r>
      <w:r>
        <w:rPr>
          <w:rFonts w:ascii="Calibri" w:hAnsi="Calibri"/>
          <w:b/>
          <w:color w:val="1A2010"/>
          <w:sz w:val="40"/>
        </w:rPr>
        <w:t xml:space="preserve">  Alector, Inc.</w:t>
      </w:r>
    </w:p>
    <w:p>
      <w:pPr>
        <w:spacing w:after="120"/>
      </w:pPr>
      <w:r>
        <w:rPr>
          <w:rFonts w:ascii="Calibri" w:hAnsi="Calibri"/>
          <w:b/>
          <w:color w:val="6E8450"/>
          <w:sz w:val="18"/>
        </w:rPr>
        <w:t>GROWTH SLEEVE · 2026-05-06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Alector, Inc. is a clinical-stage biotechnology company developing therapies to counteract neurodegeneration. Its pipeline includes Nivisnebart (AL101) for Alzheimer's disease in collaboration with GSK, latozinemab (AL001) for frontotemporal dementia, and preclinical programs AL137 (Alzheimer's) and AL050 (Parkinson's). The company's proprietary Alector Brain Carrier (ABC) platform enables targeted delivery of therapeutics across the blood-brain barrier.</w:t>
      </w:r>
    </w:p>
    <w:p>
      <w:r>
        <w:rPr>
          <w:rFonts w:ascii="Calibri" w:hAnsi="Calibri"/>
          <w:b/>
          <w:color w:val="6E8450"/>
          <w:sz w:val="18"/>
        </w:rPr>
        <w:t>103 Employees · https://www.alector.com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Alector has advanced from a research-stage startup (founded 2013) to a clinical-stage biotech with multiple programs in development, but has not yet delivered a marketed product or transformative pivot. The latozinemab Phase 3 trial (INFRONT-3) for frontotemporal dementia represents the most advanced program, with topline results announced [1]. AI Deployment (1/2): Alector presented at the Morgan Stanley conference on strategic insights regarding AI and neurodegenerative research, indicating AI integration into its drug discovery and development platform [2]. The company uses computational approaches in its immuno-neurology research, though specific AI-driven revenue or cost savings are not quantified. Market Share (2/2): Alector's proprietary ABC (Alector Brain Carrier) platform for blood-brain barrier crossing is a differentiating technology that competitors lack [1]. The company is a category leader in immuno-neurology — targeting neurodegeneration through immune modulation rather than traditional amyloid-clearing approaches. Pipeline (2/2): PROGRESS-AD trial (Nivisnebart for Alzheimer's) completed enrollment April 2025 with interim analysis planned H1 2026 and trial completion in 2026 [1]. IND submissions planned for AL137 in 2026 and AL050 in 2027. Latozinemab Phase 3 topline results provide data readout. R&amp;D Intensity (0/1): R&amp;D spending is high relative to revenue as expected for a clinical-stage biotech, but this reflects pre-commercial economics rather than peer-leading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Alector's purpose — developing therapies to counteract neurodegeneration by restoring healthy immune function to the brain — is specific, thoughtful, and genuinely aligned with alleviating human suffering [2]. The National Institute on Aging spotlighted Alector as 'generating hope for treating neurodegeneration,' validating the mission's societal relevance. The Just Cause of unlocking neurodegeneration treatment connects the company's work to millions of patients with Alzheimer's, Parkinson's, and FTD. Community Impact (0/2): No evidence of significant charitable programs or community investment beyond the inherent social value of the drug development mission. The company is small (103 employees) and pre-revenue. Employee Retention (2/2): Alector has been certified as a 'Great Place to Work' since 2020 and was selected as one of the 2023 Best Places to Work by the San Francisco Business Times and Silicon Valley Business Journal [2]. The company's culture page emphasizes 'embrace feedback and a growth mindset' as a core value. For a 103-person biotech, sustained Great Place to Work certification is strong evidence of employee satisfaction. Insider Buying (1/2): Co-founder and CEO Arnon Rosenthal has led Alector since its 2013 founding, demonstrating personal commitment through the company's entire development arc. Specific insider buying transaction data is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Alector's financials reflect a clinical-stage biotech burning cash to fund drug development. TTM revenue of $21M (collaboration payments from GSK) declined 88.5% YoY as milestone payments are lumpy [4]. D/E of 118.2% is manageable for biotech, but ROE of -181.6% and 0% profit margin reflect $114M annual free cash burn [4]. Forward P/E of -2.8x confirms expected continued losses. Cash position of $256M (down from $413M at end of 2024) provides approximately 2 years of runway at current burn rate. The only positive metric is D/E scoring at 0.79 — all other metrics score at floor (0). Revenue is entirely collaboration-dependent, not product revenue. Liquidity floor cleared: 729K avg vol x $2.57 = $1.9M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Alector demonstrates a genuine Just Cause in combating neurodegeneration and has built a distinctive culture for a small biotech, earning Great Place to Work certification. CEO Rosenthal's 13-year commitment through zero revenue years shows courage. However, the company is too small and young to have demonstrated existential flexibility or competitive maturity, and the binary nature of clinical trials creates inherent finite-game pressures around data readouts.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Alector's mission — restoring healthy immune function to the brain to counteract neurodegeneration — is idealistic, service-oriented, and describes a future state not yet achieved [1][2]. The NIA spotlight validates this as genuinely addressing one of medicine's greatest unmet needs. CEO Rosenthal co-founded the company specifically to solve this problem. However, the cause has not yet been validated by decades of execution — the company is 13 years old with no approved products.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Alector has been certified as a 'Great Place to Work' since 2020 — six consecutive years for a 103-person company — and was named among the 2023 Best Places to Work by the San Francisco Business Times [2]. The company explicitly values 'embrace feedback and a growth mindset' as a core principle. Maintaining high trust and employee satisfaction through years of pre-revenue operations and clinical uncertainty demonstrates genuine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Alector positions its immuno-neurology approach as differentiated from competitors like Biogen, Lilly (donanemab), and Eisai (lecanemab), but management commentary focuses on Alector's scientific advantages rather than learning from rivals' strengths [1]. The competitive framing is around proprietary technology superiority.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Alector has pursued the same core strategy — immuno-neurology targeting neurodegeneration — since founding in 2013 [1]. The company has not faced an existential test requiring fundamental reinvention. The ABC platform represents technology evolution within the same thesis, not a transformative pivot. As a 103-person clinical-stage company, there has been no opportunity for this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Rosenthal has maintained the immuno-neurology thesis through 13 years of pre-revenue operations, including periods of market skepticism about neuroscience drug development following high-profile Alzheimer's trial failures industry-wide [2]. The GSK partnership for progranulin-elevating antibodies demonstrates willingness to share economics for long-term development capability. Operating at $114M annual burn with 103 employees requires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Alector occupies a differentiated position in neuroscience drug development through its proprietary Alector Brain Carrier (ABC) platform for blood-brain barrier crossing and immuno-neurology approach to neurodegeneration [1]. The PROGRESS-AD trial (Nivisnebart for Alzheimer's, partnered with GSK) completed enrollment in April 2025 with interim analysis planned H1 2026, representing a potential breakthrough catalyst [1]. The pipeline includes latozinemab (FTD Phase 3 data reported), plus preclinical programs AL137 and AL050 targeting Alzheimer's and Parkinson's respectively, with IND submissions planned for 2026-2027. Cash of $256M provides approximately 2 years of runway at the current $114M annual burn rate [4]. Great Place to Work certification since 2020 and NIA recognition validate the mission and culture [2]. At $285M market cap, the stock is pricing in significant clinical risk, creating asymmetric upside if PROGRESS-AD interim data is positive.</w:t>
      </w:r>
    </w:p>
    <w:p>
      <w:pPr>
        <w:spacing w:after="120"/>
      </w:pPr>
      <w:r>
        <w:rPr>
          <w:rFonts w:ascii="Calibri" w:hAnsi="Calibri"/>
          <w:b w:val="0"/>
          <w:color w:val="3A4A28"/>
          <w:sz w:val="20"/>
        </w:rPr>
        <w:t>The bear case is substantial for this clinical-stage biotech. Revenue of $21M is entirely collaboration payments from GSK that can fluctuate dramatically (-88.5% YoY), not product revenue [4]. The company burns $114M annually with only ~2 years of cash runway, meaning additional capital raises are likely and will dilute shareholders at depressed levels ($2.57/share). ROE of -181.6% and 0% profit margin reflect the pre-commercial reality. Clinical trial risk is binary — the PROGRESS-AD interim analysis could produce disappointing results, as neuroscience has among the highest failure rates in drug development. Latozinemab Phase 3 topline results for FTD need careful evaluation for commercial viability in a rare disease. The stock trades 11% above its 50-day SMA ($2.31) but remains near multi-year lows, reflecting persistent market skepticism. Competition in Alzheimer's from approved therapies (lecanemab, donanemab) and advancing AI-driven drug discovery could narrow Alector's window of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PROGRESS-AD interim analysis for Nivisnebart in early Alzheimer's expected H1 2026, with trial completion in 2026 — positive data could validate the immuno-neurology approach and trigger re-rating [1]</w:t>
      </w:r>
    </w:p>
    <w:p>
      <w:pPr>
        <w:spacing w:before="40" w:after="40"/>
        <w:ind w:left="283"/>
      </w:pPr>
      <w:r>
        <w:rPr>
          <w:rFonts w:ascii="Calibri" w:hAnsi="Calibri"/>
          <w:b/>
          <w:color w:val="4A6B25"/>
          <w:sz w:val="20"/>
        </w:rPr>
        <w:t xml:space="preserve">2. </w:t>
      </w:r>
      <w:r>
        <w:rPr>
          <w:rFonts w:ascii="Calibri" w:hAnsi="Calibri"/>
          <w:b w:val="0"/>
          <w:color w:val="3A4A28"/>
          <w:sz w:val="20"/>
        </w:rPr>
        <w:t>IND submission for AL137 (anti-amyloid beta antibody via ABC platform) planned for 2026, expanding the pipeline into Alzheimer's with differentiated blood-brain barrier crossing technology [1]</w:t>
      </w:r>
    </w:p>
    <w:p>
      <w:pPr>
        <w:spacing w:before="40" w:after="40"/>
        <w:ind w:left="283"/>
      </w:pPr>
      <w:r>
        <w:rPr>
          <w:rFonts w:ascii="Calibri" w:hAnsi="Calibri"/>
          <w:b/>
          <w:color w:val="4A6B25"/>
          <w:sz w:val="20"/>
        </w:rPr>
        <w:t xml:space="preserve">3. </w:t>
      </w:r>
      <w:r>
        <w:rPr>
          <w:rFonts w:ascii="Calibri" w:hAnsi="Calibri"/>
          <w:b w:val="0"/>
          <w:color w:val="3A4A28"/>
          <w:sz w:val="20"/>
        </w:rPr>
        <w:t>GSK partnership provides de-risked development and potential milestone payments for Nivisnebart commercialization if trial succeeds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PROGRESS-AD interim results in H1 2026 could disappoint, devastating the stock given that the Alzheimer's pipeline is the primary valuation driver; neuroscience has historically high Phase 2/3 failure rates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2 years at $114M annual burn rate; additional dilutive capital raises are likely needed before any product revenue, especially at the current $285M market cap [4]</w:t>
      </w:r>
    </w:p>
    <w:p>
      <w:pPr>
        <w:spacing w:before="40" w:after="40"/>
        <w:ind w:left="283"/>
      </w:pPr>
      <w:r>
        <w:rPr>
          <w:rFonts w:ascii="Calibri" w:hAnsi="Calibri"/>
          <w:b/>
          <w:color w:val="4A6B25"/>
          <w:sz w:val="20"/>
        </w:rPr>
        <w:t xml:space="preserve">3. </w:t>
      </w:r>
      <w:r>
        <w:rPr>
          <w:rFonts w:ascii="Calibri" w:hAnsi="Calibri"/>
          <w:b w:val="0"/>
          <w:color w:val="3A4A28"/>
          <w:sz w:val="20"/>
        </w:rPr>
        <w:t>Revenue is entirely collaboration-dependent ($21M, -88.5% YoY) with no product sales; commercialization of any therapy is years away, and the competitive landscape in Alzheimer's is intensifying with approved treatments from Biogen/Eisai and Lilly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neurodegenerative diseases requires clinical trials, regulatory approval (FDA), and biological validation that AI cannot shortcut — the physical reality of human biology, BBB crossing, and multi-year safety data creates inherent protection from pure AI disruption [1]. However, AI is accelerating drug discovery across the industry, meaning competitors could use AI to identify targets and optimize molecules faster, creating competitive pressure. Alector's proprietary ABC platform and immuno-neurology approach provide differentiation, but AI-powered drug discovery platforms (Recursion, Insilico Medicine) could erode advantages in target identification. AI Opportunity (1/1): Alector is leveraging AI in its research and development processes, as highlighted at the Morgan Stanley conference on AI and neurodegenerative research [2]. The company's computational approaches to blood-brain barrier crossing and immune modulation benefit from AI-enhanced screening and molecular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Alector Q4 2024 Financial Results, Pipeline Updates, and INFRONT-3 / PROGRESS-AD Trial Announcements — Nasdaq / Alector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Alector Company Website, Culture &amp; Careers, NIA Spotlight, Morgan Stanley Conference Presentation, Great Place to Work Certification —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Alector ESG and Sustainability Data — Yahoo Finance, Sustainalytics,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ALEC (Alector,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