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ALKS</w:t>
      </w:r>
      <w:r>
        <w:rPr>
          <w:rFonts w:ascii="Calibri" w:hAnsi="Calibri"/>
          <w:b/>
          <w:color w:val="1A2010"/>
          <w:sz w:val="40"/>
        </w:rPr>
        <w:t xml:space="preserve">  Alkermes plc</w:t>
      </w:r>
    </w:p>
    <w:p>
      <w:pPr>
        <w:spacing w:after="120"/>
      </w:pPr>
      <w:r>
        <w:rPr>
          <w:rFonts w:ascii="Calibri" w:hAnsi="Calibri"/>
          <w:b/>
          <w:color w:val="6E8450"/>
          <w:sz w:val="18"/>
        </w:rPr>
        <w:t>GROWTH SLEEVE · 2026-04-17 · Inspire: 16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Ireland</w:t>
      </w:r>
    </w:p>
    <w:p>
      <w:pPr>
        <w:spacing w:after="80"/>
      </w:pPr>
      <w:r>
        <w:rPr>
          <w:rFonts w:ascii="Calibri" w:hAnsi="Calibri"/>
          <w:b w:val="0"/>
          <w:color w:val="3A4A28"/>
          <w:sz w:val="20"/>
        </w:rPr>
        <w:t>Alkermes is a global biopharmaceutical company focused on developing and commercializing treatments for central nervous system disorders including schizophrenia, bipolar I disorder, alcohol and opioid dependence, and narcolepsy. Key marketed products include ARISTADA, VIVITROL, LYBALVI, and the recently acquired LUMRYZ. The company also licenses its proprietary drug delivery technology platforms to third parties.</w:t>
      </w:r>
    </w:p>
    <w:p>
      <w:r>
        <w:rPr>
          <w:rFonts w:ascii="Calibri" w:hAnsi="Calibri"/>
          <w:b/>
          <w:color w:val="6E8450"/>
          <w:sz w:val="18"/>
        </w:rPr>
        <w:t>2,050 Employees · https://www.alkermes.com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Alkermes successfully launched LYBALVI for schizophrenia/bipolar I and completed the transformative acquisition of Avadel Pharmaceuticals in February 2026, adding LUMRYZ (narcolepsy) and expanding into the sleep disorder market with projected $350-370M in 2026 LUMRYZ revenue [1]. AI Deployment (0/2): No evidence of AI-powered products or AI-driven internal efficiency gains; the company's focus remains on traditional biopharmaceutical R&amp;D and drug delivery technologies [2]. Market Share (1/2): Alkermes holds meaningful positions in long-acting injectable antipsychotics (ARISTADA) and opioid dependence treatment (VIVITROL), but is not the category leader in any therapeutic area [1]. Pipeline (1/2): The company has a preclinical and clinical pipeline in neurological disorders, but specific next-gen product candidates with defined launch timelines are limited beyond the existing portfolio expansion via Avadel [1]. R&amp;D Intensity (1/1): R&amp;D spending is consistent with specialty pharma peers, supporting ongoing pipeline development in CNS disorders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Alkermes' mission focuses on developing innovative medicines to address unmet needs in CNS disorders — clear and specific to its therapeutic areas but not distinctive or transformative beyond standard biopharma purpose statements [3]. Community &amp; Charitable Impact (1/2): The company publishes a Corporate Responsibility Report and maintains community grant programs, employee volunteer initiatives, and patient access programs for its medicines, though scale is modest relative to larger pharma companies [3]. Employee Retention (1/2): Glassdoor rating of 4.4/5.0 (25% above pharma/biotech industry average) indicates generally positive employee sentiment, though some reviews cite leadership communication issues and organizational restructuring concerns [2]. Insider Buying (1/2): Recent insider activity is predominantly selling — officers exercised options and sold shares in March-April 2026 including $319K by Craig Hopkinson and $120K by David Gaffin — with net insider selling pattern suggesting routine compensation-driven activity rather than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Alkermes demonstrates strong financial infrastructure with exceptionally low leverage (D/E 3.8%) and $588M cash against only $70M total debt, providing substantial financial flexibility for the Avadel integration [1][4]. Forward P/E of 16.9x is attractive for a specialty pharma name with expanding revenue base, and PEG of 1.96 reflects moderate growth-adjusted valuation [4]. ROE of 14.7% falls just below the 15% target but reflects real profitability rather than leverage-driven returns. Revenue declined 10.6% YoY in FY2025 due to the loss of ARISTADA royalties, but 2026 guidance of $1.73-1.84B implies 17-25% revenue growth from the Avadel acquisition [1]. Profit margin of 16.4% is solid for specialty pharma, though GAAP margins will compress in 2026 due to $150M noncash inventory step-up and $50M transaction costs [1]. Liquidity floor easily cleared: 2.4M avg daily volume x $33.77 = $80.4M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Alkermes under Richard Pops' 30+ year tenure demonstrated infinite game qualities — patient investment in CNS neuroscience, building proprietary drug delivery technology platforms, and persistent R&amp;D through multiple market cycles. The Avadel acquisition extends this pattern of long-term capability building. However, the CEO succession to Blair Jackson introduces uncertainty, and the company's competitive language often focuses on market positioning rather than purpose advancement.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Alkermes' focus on addressing unmet needs in CNS disorders — addiction, schizophrenia, narcolepsy — represents a genuine cause connecting the company to meaningful patient outcomes. Richard Pops led the company for three decades with consistent focus on neuroscience, demonstrating resilience through multiple cycles [2]. However, the cause is therapeutically specific rather than transformatively articulated — it reads more as mission than Just Cause in Sinek's framework.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4.4/5.0 suggests generally positive workplace culture with employees citing supportive cross-functional relationships and people-first values [2]. However, recent reviews mention leadership communication gaps, micromanagement concerns, and organizational change fatigue from restructuring and the Avadel integration. The CEO succession creates additional uncertainty for team trust.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Alkermes acknowledges competitors' strengths in CNS therapeutics, particularly Johnson &amp; Johnson (long-acting injectables), Teva (generic antipsychotics), and Jazz Pharmaceuticals (narcolepsy). The Avadel acquisition reflects competitive learning — entering narcolepsy after observing the market rather than trying to beat incumbents head-on.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Avadel acquisition in February 2026 represents meaningful strategic evolution — expanding from addiction/schizophrenia into narcolepsy/sleep disorders with $350-370M projected LUMRYZ revenue [1]. The company also evolved from a pure drug delivery technology platform to an integrated commercial pharma company over two decades. These are incremental rather than transformative pivots, but show willingness to adapt.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Pops demonstrated courage in maintaining focus on CNS therapeutics when many peers chased oncology, and the Avadel acquisition — Alkermes' largest deal — required conviction to lever up a historically debt-averse balance sheet [1]. The decision to build a proprietary commercial infrastructure rather than partnering away branded products showed long-term thinking.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Alkermes is a specialty biopharmaceutical company at an inflection point following the transformative Avadel acquisition in February 2026, which adds LUMRYZ (projected $350-370M 2026 revenue) and expands the company's CNS therapeutic portfolio into narcolepsy/sleep disorders [1]. The combined entity is guided to $1.73-1.84B in 2026 total revenue (17-25% growth over FY2025's $1.48B), with adjusted EBITDA of $370-410M [1]. The balance sheet remains conservative with only $70M total debt against $588M cash, and the stock trades at an undemanding 16.9x forward P/E for a specialty pharma with accelerating top-line growth and expanding therapeutic reach [4]. Core products ARISTADA, VIVITROL, and LYBALVI provide a durable CNS franchise with high switching costs in mental health treatment.</w:t>
      </w:r>
    </w:p>
    <w:p>
      <w:pPr>
        <w:spacing w:after="120"/>
      </w:pPr>
      <w:r>
        <w:rPr>
          <w:rFonts w:ascii="Calibri" w:hAnsi="Calibri"/>
          <w:b w:val="0"/>
          <w:color w:val="3A4A28"/>
          <w:sz w:val="20"/>
        </w:rPr>
        <w:t>The bear case centers on integration execution risk and revenue concentration. Alkermes is absorbing its largest acquisition while simultaneously managing a CEO succession from 30-year veteran Richard Pops to Blair Jackson, creating dual leadership transitions [2]. FY2025 revenue declined 10.6% YoY, and 2026 GAAP earnings will be depressed by $150M noncash inventory step-up charges and $50M transaction costs from the Avadel deal [1]. LUMRYZ faces competitive pressure from Jazz Pharmaceuticals' established Xyrem/Xywav franchise in narcolepsy, and generic competition could erode VIVITROL's market position. Free cash flow was negative $363M in FY2025, raising questions about near-term cash generation capacity during the integration period [4]. The company's 1.4% insider ownership and persistent insider selling pattern suggest limited management conviction at current prices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Avadel integration synergy realization and LUMRYZ revenue ramp toward the $350-370M 2026 target, validating the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2026 total revenue guidance of $1.73-1.84B representing 17-25% growth, driven by the combined CNS portfolio expansion [1]</w:t>
      </w:r>
    </w:p>
    <w:p>
      <w:pPr>
        <w:spacing w:before="40" w:after="40"/>
        <w:ind w:left="283"/>
      </w:pPr>
      <w:r>
        <w:rPr>
          <w:rFonts w:ascii="Calibri" w:hAnsi="Calibri"/>
          <w:b/>
          <w:color w:val="4A6B25"/>
          <w:sz w:val="20"/>
        </w:rPr>
        <w:t xml:space="preserve">3. </w:t>
      </w:r>
      <w:r>
        <w:rPr>
          <w:rFonts w:ascii="Calibri" w:hAnsi="Calibri"/>
          <w:b w:val="0"/>
          <w:color w:val="3A4A28"/>
          <w:sz w:val="20"/>
        </w:rPr>
        <w:t>Successful CEO transition to Blair Jackson while maintaining operational momentum and R&amp;D pipeline advancement in neuroscience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absorbing Avadel while navigating CEO succession creates operational complexity with $150M step-up charges pressuring GAAP margins [1]</w:t>
      </w:r>
    </w:p>
    <w:p>
      <w:pPr>
        <w:spacing w:before="40" w:after="40"/>
        <w:ind w:left="283"/>
      </w:pPr>
      <w:r>
        <w:rPr>
          <w:rFonts w:ascii="Calibri" w:hAnsi="Calibri"/>
          <w:b/>
          <w:color w:val="4A6B25"/>
          <w:sz w:val="20"/>
        </w:rPr>
        <w:t xml:space="preserve">2. </w:t>
      </w:r>
      <w:r>
        <w:rPr>
          <w:rFonts w:ascii="Calibri" w:hAnsi="Calibri"/>
          <w:b w:val="0"/>
          <w:color w:val="3A4A28"/>
          <w:sz w:val="20"/>
        </w:rPr>
        <w:t>LUMRYZ competitive pressure from Jazz Pharmaceuticals' established Xyrem/Xywav narcolepsy franchise could limit market share gains [1]</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of -$363M in FY2025 and persistent insider selling raise concerns about near-term capital allocation and management confidence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Alkermes operates in specialty biopharmaceuticals with physically manufactured drug products (long-acting injectables, oral formulations) and deeply regulated FDA approval processes that AI cannot structurally displace [2]. Drug development, clinical trials, and manufacturing of complex formulations like ARISTADA (injectable suspensions) require physical-world capabilities immune to AI substitution. However, AI tools are increasingly used in drug discovery and clinical trial optimization by competitors, creating moderate competitive pressure on R&amp;D efficiency [2]. AI Opportunity (1/1): While Alkermes does not generate AI revenue directly, the company's proprietary drug delivery technology platforms could benefit from AI-enhanced formulation design, and AI tools are being adopted across pharma for accelerating preclinical and clinical development timelines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Alkermes Q4 FY2025 Earnings Release — $1.48B revenue, $241.7M net income, 2026 guidance $1.73-1.84B, February 2026</w:t>
      </w:r>
    </w:p>
    <w:p>
      <w:pPr>
        <w:spacing w:before="20" w:after="20"/>
        <w:ind w:left="170"/>
      </w:pPr>
      <w:r>
        <w:rPr>
          <w:rFonts w:ascii="Calibri" w:hAnsi="Calibri"/>
          <w:b/>
          <w:color w:val="4A6B25"/>
          <w:sz w:val="15"/>
        </w:rPr>
        <w:t xml:space="preserve">2. </w:t>
      </w:r>
      <w:r>
        <w:rPr>
          <w:rFonts w:ascii="Calibri" w:hAnsi="Calibri"/>
          <w:b w:val="0"/>
          <w:color w:val="3A4A28"/>
          <w:sz w:val="17"/>
        </w:rPr>
        <w:t>BioPharma Dive, Glassdoor — Alkermes CEO succession (Richard Pops to Blair Jackson), Glassdoor 4.4/5.0 rating, culture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Alkermes Corporate Responsibility Report — ESG initiatives, community programs, patient access,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ALKS (Alkermes plc),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