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ALLO</w:t>
      </w:r>
      <w:r>
        <w:rPr>
          <w:rFonts w:ascii="Calibri" w:hAnsi="Calibri"/>
          <w:b/>
          <w:color w:val="1A2010"/>
          <w:sz w:val="40"/>
        </w:rPr>
        <w:t xml:space="preserve">  Allogene Therapeutics, Inc.</w:t>
      </w:r>
    </w:p>
    <w:p>
      <w:pPr>
        <w:spacing w:after="120"/>
      </w:pPr>
      <w:r>
        <w:rPr>
          <w:rFonts w:ascii="Calibri" w:hAnsi="Calibri"/>
          <w:b/>
          <w:color w:val="6E8450"/>
          <w:sz w:val="18"/>
        </w:rPr>
        <w:t>GROWTH SLEEVE · 2026-03-31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Allogene Therapeutics, Inc. is a clinical-stage immuno-oncology company developing off-the-shelf allogeneic CAR T cell therapies for cancer and autoimmune diseases using proprietary gene-editing, protein engineering, and advanced manufacturing technologies.</w:t>
      </w:r>
    </w:p>
    <w:p>
      <w:r>
        <w:rPr>
          <w:rFonts w:ascii="Calibri" w:hAnsi="Calibri"/>
          <w:b/>
          <w:color w:val="6E8450"/>
          <w:sz w:val="18"/>
        </w:rPr>
        <w:t>150 Employees · https://allogene.com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Allogene is pioneering allogeneic (off-the-shelf) CAR T therapy, a fundamentally different approach from autologous CAR T that could dramatically expand patient access by eliminating the weeks-long manufacturing process tied to individual patients [1]. ALLO-316 is the only allogeneic CAR T to show clinically significant response rates in a metastatic solid tumor (31% confirmed ORR in high CD70 RCC), and the manufacturing platform targets 30,000-60,000+ doses annually at less than $10K-20K per dose [1]. Co-founder and CEO David Chang led the development of Yescarta at Kite/Gilead, the first CAR T approved for non-Hodgkin lymphoma, giving the team an industry-leading track record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Allogene's mission to democratize CAR T therapy by making it available off-the-shelf rather than custom-manufactured represents a compelling patient-first purpose, with potential to expand access to thousands of patients currently unable to receive autologous therapy [1][5]. The company published an inaugural ESG report highlighting DEI initiatives, 100% renewable energy at its Cell Forge 1 facility, and commitment to equitable patient access [5]. With only 150 employees and no Glassdoor data of significance, cultural assessment is limited, though the experienced leadership team (7.75-year CEO tenure) provides stability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Allogene is a pre-revenue clinical-stage company with a 2025 net loss of $190.9 million and no product revenue, making traditional financial metrics largely inapplicable [1]. The company holds $258.3 million in cash with a runway into Q1 2028, supplemented by $23.7 million from escrow and ATM facility proceeds, but at $150M annual cash burn the margin of safety is thin [1]. Debt-to-equity of 28.5% is modest, but ROE of -53.4% and zero profit margins reflect the pre-commercial reality of clinical-stage biotech.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Allogene demonstrates strong infinite-game characteristics through its patient-first mission and willingness to pursue a fundamentally novel approach to CAR T therapy despite years of losses, though the binary nature of clinical-stage biotech creates inherent short-term pressures around data readouts [1][4].</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Democratizing CAR T therapy by making it off-the-shelf, affordable (&lt;$20K per dose vs. $373K+ for autologous), and scalable to 60,000+ doses annually represents a transformative just cause in oncology and autoimmune disease [1]. The company's expansion into autoimmune diseases with ALLO-329 broadens this mission beyond cancer to conditions affecting millions of patients worldwide. This cause transcends any individual product or quarter.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150 employees and an experienced leadership team averaging 2.9-year tenure, Allogene operates as a focused, mission-driven organization where cross-functional collaboration is essential [4]. The DEI committee established in 2020 and inclusive hiring practices suggest attention to team dynamics, though the small size makes formal cultural assessment difficult [5].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Allogene competes against established autologous CAR T leaders (Novartis's Kymriah, Gilead's Yescarta, BMS's Breyanzi) and other allogeneic competitors like CRISPR Therapeutics and Caribou Biosciences, but limited public evidence of openly acknowledging rivals as worthy competitors or learning sources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Allogene demonstrated significant existential flexibility by pivoting into autoimmune diseases with ALLO-329 alongside its core oncology focus, recognizing that the allogeneic CAR T platform could address one of the largest new markets in cell therapy [1]. The company also shifted from earlier-generation to enhanced manufacturing technologies and adapted its clinical strategy around MRD-guided treatment in ALPHA3.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Pursuing allogeneic CAR T when the entire field was autologous required genuine courage, and maintaining this commitment through years of clinical setbacks and market skepticism (stock down significantly from IPO) demonstrates conviction [1]. CEO Chang's willingness to position 2026 as a 'program-defining year' with multiple binary catalysts shows confidence in the science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Allogene Therapeutics represents a high-risk, high-reward bet on the allogeneic CAR T platform that could fundamentally disrupt the $10B+ cell therapy market by offering off-the-shelf products at a fraction of autologous costs. The April 2026 ALPHA3 futility analysis and June 2026 RESOLUTION proof-of-concept data are the most important near-term catalysts, with positive results potentially revaluing the stock significantly from its $541M market cap [1].</w:t>
      </w:r>
    </w:p>
    <w:p>
      <w:pPr>
        <w:spacing w:after="120"/>
      </w:pPr>
      <w:r>
        <w:rPr>
          <w:rFonts w:ascii="Calibri" w:hAnsi="Calibri"/>
          <w:b w:val="0"/>
          <w:color w:val="3A4A28"/>
          <w:sz w:val="20"/>
        </w:rPr>
        <w:t>The bear case is substantial: Allogene remains pre-revenue with $150M annual cash burn, a runway only into Q1 2028, and binary clinical risk. If ALPHA3 futility analysis is negative in April, the stock could face severe downside. The $2.22 share price reflects deep market skepticism about the allogeneic approach after years of development. This is suitable only for investors with high risk tolerance and a multi-year time horizon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ALPHA3 pivotal trial interim futility analysis expected April 2026 — positive results would validate cema-cel in earlier-line LBCL [1]</w:t>
      </w:r>
    </w:p>
    <w:p>
      <w:pPr>
        <w:spacing w:before="40" w:after="40"/>
        <w:ind w:left="283"/>
      </w:pPr>
      <w:r>
        <w:rPr>
          <w:rFonts w:ascii="Calibri" w:hAnsi="Calibri"/>
          <w:b/>
          <w:color w:val="4A6B25"/>
          <w:sz w:val="20"/>
        </w:rPr>
        <w:t xml:space="preserve">2. </w:t>
      </w:r>
      <w:r>
        <w:rPr>
          <w:rFonts w:ascii="Calibri" w:hAnsi="Calibri"/>
          <w:b w:val="0"/>
          <w:color w:val="3A4A28"/>
          <w:sz w:val="20"/>
        </w:rPr>
        <w:t>ALLO-329 RESOLUTION trial proof-of-concept data expected June 2026, potentially opening the massive autoimmune disease market [1]</w:t>
      </w:r>
    </w:p>
    <w:p>
      <w:pPr>
        <w:spacing w:before="40" w:after="40"/>
        <w:ind w:left="283"/>
      </w:pPr>
      <w:r>
        <w:rPr>
          <w:rFonts w:ascii="Calibri" w:hAnsi="Calibri"/>
          <w:b/>
          <w:color w:val="4A6B25"/>
          <w:sz w:val="20"/>
        </w:rPr>
        <w:t xml:space="preserve">3. </w:t>
      </w:r>
      <w:r>
        <w:rPr>
          <w:rFonts w:ascii="Calibri" w:hAnsi="Calibri"/>
          <w:b w:val="0"/>
          <w:color w:val="3A4A28"/>
          <w:sz w:val="20"/>
        </w:rPr>
        <w:t>ALLO-316 FDA alignment on pivotal trial design in RCC, the only allogeneic CAR T with clinically significant solid tumor response rates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risk — negative ALPHA3 futility analysis in April 2026 could devastate the stock and threaten the company's viability [1]</w:t>
      </w:r>
    </w:p>
    <w:p>
      <w:pPr>
        <w:spacing w:before="40" w:after="40"/>
        <w:ind w:left="283"/>
      </w:pPr>
      <w:r>
        <w:rPr>
          <w:rFonts w:ascii="Calibri" w:hAnsi="Calibri"/>
          <w:b/>
          <w:color w:val="4A6B25"/>
          <w:sz w:val="20"/>
        </w:rPr>
        <w:t xml:space="preserve">2. </w:t>
      </w:r>
      <w:r>
        <w:rPr>
          <w:rFonts w:ascii="Calibri" w:hAnsi="Calibri"/>
          <w:b w:val="0"/>
          <w:color w:val="3A4A28"/>
          <w:sz w:val="20"/>
        </w:rPr>
        <w:t>Cash runway extends only to Q1 2028 at current burn rates, requiring additional dilutive capital raises if clinical timelines extend [1]</w:t>
      </w:r>
    </w:p>
    <w:p>
      <w:pPr>
        <w:spacing w:before="40" w:after="40"/>
        <w:ind w:left="283"/>
      </w:pPr>
      <w:r>
        <w:rPr>
          <w:rFonts w:ascii="Calibri" w:hAnsi="Calibri"/>
          <w:b/>
          <w:color w:val="4A6B25"/>
          <w:sz w:val="20"/>
        </w:rPr>
        <w:t xml:space="preserve">3. </w:t>
      </w:r>
      <w:r>
        <w:rPr>
          <w:rFonts w:ascii="Calibri" w:hAnsi="Calibri"/>
          <w:b w:val="0"/>
          <w:color w:val="3A4A28"/>
          <w:sz w:val="20"/>
        </w:rPr>
        <w:t>Autologous CAR T competitors continue improving manufacturing speed and cost, potentially narrowing Allogene's differentiation advantage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presents more opportunity than threat for Allogene's cell therapy development. AI and machine learning are increasingly used in drug discovery, protein engineering, and clinical trial optimization, and Allogene's gene-editing platform could benefit from AI-enhanced target identification and manufacturing process optimization [4]. The company's core IP is in biological engineering and cell therapy manufacturing, areas where AI is supplementary rather than substitutive. AI Risk Protection scores 5/9 as the company's science-driven moat is not directly threatened by AI, plus 1 AI Opportunity tiebreaker for potential AI-enhanced drug development acceleration.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Allogene Therapeutics Q4 2025 Earnings Release and 2026 Business Outlook — ir.allogene.com, January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ALLO key statistics,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Investing.com — Allogene Therapeutics Q4 2025 Earnings Call Transcript, 2026</w:t>
      </w:r>
    </w:p>
    <w:p>
      <w:pPr>
        <w:spacing w:before="20" w:after="20"/>
        <w:ind w:left="170"/>
      </w:pPr>
      <w:r>
        <w:rPr>
          <w:rFonts w:ascii="Calibri" w:hAnsi="Calibri"/>
          <w:b/>
          <w:color w:val="4A6B25"/>
          <w:sz w:val="15"/>
        </w:rPr>
        <w:t xml:space="preserve">4. </w:t>
      </w:r>
      <w:r>
        <w:rPr>
          <w:rFonts w:ascii="Calibri" w:hAnsi="Calibri"/>
          <w:b w:val="0"/>
          <w:color w:val="3A4A28"/>
          <w:sz w:val="17"/>
        </w:rPr>
        <w:t>Allogene Therapeutics About Us and Leadership — allogene.com, accessed March 2026</w:t>
      </w:r>
    </w:p>
    <w:p>
      <w:pPr>
        <w:spacing w:before="20" w:after="20"/>
        <w:ind w:left="170"/>
      </w:pPr>
      <w:r>
        <w:rPr>
          <w:rFonts w:ascii="Calibri" w:hAnsi="Calibri"/>
          <w:b/>
          <w:color w:val="4A6B25"/>
          <w:sz w:val="15"/>
        </w:rPr>
        <w:t xml:space="preserve">5. </w:t>
      </w:r>
      <w:r>
        <w:rPr>
          <w:rFonts w:ascii="Calibri" w:hAnsi="Calibri"/>
          <w:b w:val="0"/>
          <w:color w:val="3A4A28"/>
          <w:sz w:val="17"/>
        </w:rPr>
        <w:t>Allogene Therapeutics Inaugural ESG Report, March 2022 — GlobeNewswire</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