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ALLY</w:t>
      </w:r>
      <w:r>
        <w:rPr>
          <w:rFonts w:ascii="Calibri" w:hAnsi="Calibri"/>
          <w:b/>
          <w:color w:val="1A2010"/>
          <w:sz w:val="40"/>
        </w:rPr>
        <w:t xml:space="preserve">  Ally Financial Inc.</w:t>
      </w:r>
    </w:p>
    <w:p>
      <w:pPr>
        <w:spacing w:after="120"/>
      </w:pPr>
      <w:r>
        <w:rPr>
          <w:rFonts w:ascii="Calibri" w:hAnsi="Calibri"/>
          <w:b/>
          <w:color w:val="6E8450"/>
          <w:sz w:val="18"/>
        </w:rPr>
        <w:t>DIVIDEND SLEEVE · 2026-04-07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Credit Services · NYSE · United States</w:t>
      </w:r>
    </w:p>
    <w:p>
      <w:pPr>
        <w:spacing w:after="80"/>
      </w:pPr>
      <w:r>
        <w:rPr>
          <w:rFonts w:ascii="Calibri" w:hAnsi="Calibri"/>
          <w:b w:val="0"/>
          <w:color w:val="3A4A28"/>
          <w:sz w:val="20"/>
        </w:rPr>
        <w:t>Ally Financial is a digital financial services company operating the nation's largest all-digital bank, serving approximately 11 million customers through auto financing, consumer banking, corporate finance, and insurance. The company originated 1.3 million car loans in 2025 and provides a full range of online deposit, lending, and investment products.</w:t>
      </w:r>
    </w:p>
    <w:p>
      <w:r>
        <w:rPr>
          <w:rFonts w:ascii="Calibri" w:hAnsi="Calibri"/>
          <w:b/>
          <w:color w:val="6E8450"/>
          <w:sz w:val="18"/>
        </w:rPr>
        <w:t>10,300 Employees · https://www.ally.com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Ally has successfully transformed from GMAC (a legacy GM financing arm) into the nation's largest all-digital bank serving 11 million customers, with record auto lending volume in 2025 and expansion into corporate finance [1]. The digital-first model has eliminated branch costs and attracted deposits through competitive rates. AI Deployment (1/2): Ally launched Ally.ai in June 2023, a proprietary AI platform earning a 2024 CIO 100 Award, and management confirmed investment in AI, cyber, and servicing for 2026 with AI-driven efficiency gains in auto lending operations [2]. Market Share (1/2): Ally is a leading digital bank and top-5 auto lender in the US, originating 1.3M car loans in 2025 and financing 4.0M customers, but faces competition from Capital One, JPMorgan, and emerging fintechs [1]. Pipeline (1/2): 2026 guidance includes 2-4% growth in average earning assets focused on retail auto and corporate finance, with continued investment in AI capabilities and digital banking features [1]. R&amp;D Intensity (0/1): Financial services companies do not report traditional R&amp;D; Ally's technology investment is embedded in operating expenses and not separately quantified.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Ally's brand positioning as a customer-first digital bank with 'Do It Right' values is specific, thoughtful, and differentiated from traditional banks — the name itself ('Ally') signals partnership with customers [2]. CEO Michael Rhodes (appointed April 2024) emphasizes that supporting team members and workplace culture is essential to the mission. Community Impact (1/2): Ally invests in community programs and corporate social responsibility, though the recent scaling back of DEI initiatives (DEI section removed from 2025 annual filing) raises questions about depth of social commitment [3]. Employee Retention (1/2): 10,300 employees with a culture described as emphasizing 'radical candor' between CIO and CISO teams, and Comparably ratings suggest above-average employee sentiment [2]. CEO Rhodes brings fresh energy after 25+ years of banking experience at TD Bank. Insider Buying (1/2): No significant net insider buying data found, but the company has maintained its $1.20/share annual dividend through multiple quarters while investing in growth, signaling management confidence in the business trajectory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Ally's forward P/E of 6.37x is extremely attractive for a financial services company, pricing in significant pessimism about credit quality and auto lending margins [4]. Revenue grew 12% YoY with earnings growth of 265.4%, showing strong recovery from 2024 credit quality challenges [1]. Profit margin of 11.6% and ROE of 5.8% are below targets but improving — management sees mid-teens ROE as a 2026 target [1]. D/E data is unavailable for Ally (typical for financial companies with large deposit/liability bases). The dividend yield of 3.01% with a 50.6% payout ratio is well-covered and sustainable, with 11 consecutive years paid and a 5yr dividend CAGR of 9.6%, though growth has stalled since 2022 at $1.20/share [4]. Retail auto net charge-offs guided to 1.8-2.0% for 2026, suggesting credit normalization. Liquidity floor easily cleared: 3.93M avg vol × $40.32 = $158.6M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Ally has made a genuine transformation from GMAC (a legacy auto finance arm) into a purpose-driven digital bank under the 'Do It Right' brand philosophy. The company's 107-year history (founded 1919) demonstrates endurance, and the digital-first model represents a meaningful strategic reinvention. However, the recent CEO change and scaling back of DEI commitments suggest some strategic inconsistency.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Ally's purpose of being the customer's 'ally' in financial services — making banking accessible, transparent, and digital-first — is genuine and validated by the complete transformation from GMAC to Ally [2]. The rebranding in 2010 was more than cosmetic; it represented a fundamental shift in how the company approaches customers. Serving 11M customers through the largest all-digital bank demonstrates the cause translates into real execution.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Ally's culture of 'radical candor' between CIO Muthukrishnan and CISO Hart is cited as a competitive advantage that keeps the firm secure and innovative [2]. The 10,300-person workforce operates in a digital-first environment that requires trust and empowerment. However, the CEO transition from Jeffrey Brown to Michael Rhodes in April 2024, combined with the scaling back of DEI programs, introduces organizational uncertainty about cultural direction.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Ally explicitly acknowledges competitive dynamics in digital banking, positioning against Capital One (credit cards), Marcus by Goldman Sachs (savings), and fintech disruptors while learning from each [2]. Management invests in areas where competitors have advantages — AI capability, cyber security, digital experience — demonstrating a growth mindset toward competition rather than a defensive posture.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GMAC (GM's captive finance arm) to Ally Financial (independent digital bank) represents a genuine existential pivot — the company abandoned its identity as an auto industry subsidiary to become a standalone digital financial services platform [2]. This pivot was driven by necessity (post-2008 crisis) but executed with strategic vision. More recently, expansion into corporate finance and investment products shows continued evolution beyond auto lending.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Ally's decision to operate as a fully digital bank with no physical branches was courageous when it was made, and the company has maintained this conviction as traditional banks opened digital channels [2]. Maintaining the $1.20/share dividend while investing in AI infrastructure and digital capabilities shows balanced capital allocation. However, the retreat from DEI commitments under legal pressure suggests willingness to compromise values when the cost is real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Ally Financial trades at a forward P/E of just 6.4x — deeply discounted for a company with 11M digital banking customers, record auto lending volume, and earnings growth of 265% in 2025 [1][4]. The 3.01% dividend yield with a sustainable 50.6% payout ratio provides income while investors wait for margin recovery; management targets mid-teens ROE in 2026, up from current 5.8% [1]. The Ally.ai platform (CIO 100 Award winner) positions the company to drive efficiency gains across auto lending and banking operations, and 2-4% earning asset growth guidance signals disciplined expansion [2]. Wells Fargo recently upgraded the stock on improving auto lending outlook [1].</w:t>
      </w:r>
    </w:p>
    <w:p>
      <w:pPr>
        <w:spacing w:after="120"/>
      </w:pPr>
      <w:r>
        <w:rPr>
          <w:rFonts w:ascii="Calibri" w:hAnsi="Calibri"/>
          <w:b w:val="0"/>
          <w:color w:val="3A4A28"/>
          <w:sz w:val="20"/>
        </w:rPr>
        <w:t>The bear case focuses on credit risk and margin pressure. Retail auto net charge-offs guided to 1.8-2.0% for 2026, and a recession could push charge-offs significantly higher given Ally's heavy subprime/near-prime auto exposure [1]. Five-year revenue CAGR of -1.7% indicates the business has not grown meaningfully, and ROE of 5.8% is far below the cost of equity [4]. The stock trades at 0.94x book value, suggesting the market doubts Ally can earn its way to adequate returns. Rising competition from fintechs and big-bank digital offerings threatens Ally's deposit franchise and auto lending margins. Environmental advocates criticize Ally for not measuring lending-related emissions or setting science-based targets [3]. The frozen dividend ($1.20/share since 2022) despite 9.6% historical growth suggests management lacks confidence to raise it. Auto lending is inherently cyclical, and a credit cycle downturn could rapidly erode the earnings recovery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Management targeting mid-teens ROE in 2026, up from 5.8%, driven by earning asset growth of 2-4% and expense discipline (+1% YoY) [1]</w:t>
      </w:r>
    </w:p>
    <w:p>
      <w:pPr>
        <w:spacing w:before="40" w:after="40"/>
        <w:ind w:left="283"/>
      </w:pPr>
      <w:r>
        <w:rPr>
          <w:rFonts w:ascii="Calibri" w:hAnsi="Calibri"/>
          <w:b/>
          <w:color w:val="4A6B25"/>
          <w:sz w:val="20"/>
        </w:rPr>
        <w:t xml:space="preserve">2. </w:t>
      </w:r>
      <w:r>
        <w:rPr>
          <w:rFonts w:ascii="Calibri" w:hAnsi="Calibri"/>
          <w:b w:val="0"/>
          <w:color w:val="3A4A28"/>
          <w:sz w:val="20"/>
        </w:rPr>
        <w:t>Ally.ai platform driving operational efficiency gains across auto lending, servicing, and customer experience — quantifiable cost savings expected [2]</w:t>
      </w:r>
    </w:p>
    <w:p>
      <w:pPr>
        <w:spacing w:before="40" w:after="40"/>
        <w:ind w:left="283"/>
      </w:pPr>
      <w:r>
        <w:rPr>
          <w:rFonts w:ascii="Calibri" w:hAnsi="Calibri"/>
          <w:b/>
          <w:color w:val="4A6B25"/>
          <w:sz w:val="20"/>
        </w:rPr>
        <w:t xml:space="preserve">3. </w:t>
      </w:r>
      <w:r>
        <w:rPr>
          <w:rFonts w:ascii="Calibri" w:hAnsi="Calibri"/>
          <w:b w:val="0"/>
          <w:color w:val="3A4A28"/>
          <w:sz w:val="20"/>
        </w:rPr>
        <w:t>Forward P/E of 6.4x offers significant multiple expansion opportunity if credit quality normalizes and ROE approaches mid-teens targets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Auto credit quality deterioration — recession could push net charge-offs well above the 1.8-2.0% guidance range given subprime/near-prime concentration [1]</w:t>
      </w:r>
    </w:p>
    <w:p>
      <w:pPr>
        <w:spacing w:before="40" w:after="40"/>
        <w:ind w:left="283"/>
      </w:pPr>
      <w:r>
        <w:rPr>
          <w:rFonts w:ascii="Calibri" w:hAnsi="Calibri"/>
          <w:b/>
          <w:color w:val="4A6B25"/>
          <w:sz w:val="20"/>
        </w:rPr>
        <w:t xml:space="preserve">2. </w:t>
      </w:r>
      <w:r>
        <w:rPr>
          <w:rFonts w:ascii="Calibri" w:hAnsi="Calibri"/>
          <w:b w:val="0"/>
          <w:color w:val="3A4A28"/>
          <w:sz w:val="20"/>
        </w:rPr>
        <w:t>Fintech competition in digital banking and AI-driven lending could compress Ally's deposit spreads and auto lending margins over time [2]</w:t>
      </w:r>
    </w:p>
    <w:p>
      <w:pPr>
        <w:spacing w:before="40" w:after="40"/>
        <w:ind w:left="283"/>
      </w:pPr>
      <w:r>
        <w:rPr>
          <w:rFonts w:ascii="Calibri" w:hAnsi="Calibri"/>
          <w:b/>
          <w:color w:val="4A6B25"/>
          <w:sz w:val="20"/>
        </w:rPr>
        <w:t xml:space="preserve">3. </w:t>
      </w:r>
      <w:r>
        <w:rPr>
          <w:rFonts w:ascii="Calibri" w:hAnsi="Calibri"/>
          <w:b w:val="0"/>
          <w:color w:val="3A4A28"/>
          <w:sz w:val="20"/>
        </w:rPr>
        <w:t>Flat dividend since 2022 and sub-6% ROE suggest the company may be stuck in a low-return environment with limited ability to grow shareholder distributions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Auto lending and digital banking face moderate AI disruption risk. AI-powered fintech competitors could use superior credit modeling to cherry-pick the best borrowers, compressing Ally's margins on remaining customers. AI-driven robo-advisors and automated financial planning threaten Ally Invest's brokerage and advisory services. However, Ally's scale in auto dealer relationships, regulatory moats (banking charter, deposit insurance), and proprietary data from 11M customers provide meaningful defensive barriers that pure-tech disruptors cannot easily replicate [1]. The auto lending process involves physical asset evaluation and dealer relationships that AI cannot fully automate. AI Opportunity (1/1): Ally generates value from AI through its proprietary Ally.ai platform, which earned a 2024 CIO 100 Award and drives efficiency gains in servicing, credit underwriting, and customer experience across the organization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Ally Financial Q4 2025 / FY2025 Earnings Release — record auto volume, 265% earnings growth, 2026 guidance, January 21, 2026</w:t>
      </w:r>
    </w:p>
    <w:p>
      <w:pPr>
        <w:spacing w:before="20" w:after="20"/>
        <w:ind w:left="170"/>
      </w:pPr>
      <w:r>
        <w:rPr>
          <w:rFonts w:ascii="Calibri" w:hAnsi="Calibri"/>
          <w:b/>
          <w:color w:val="4A6B25"/>
          <w:sz w:val="15"/>
        </w:rPr>
        <w:t xml:space="preserve">2. </w:t>
      </w:r>
      <w:r>
        <w:rPr>
          <w:rFonts w:ascii="Calibri" w:hAnsi="Calibri"/>
          <w:b w:val="0"/>
          <w:color w:val="3A4A28"/>
          <w:sz w:val="17"/>
        </w:rPr>
        <w:t>CIO Magazine / CEO NA — Ally.ai platform, CIO 100 Award, Michael Rhodes CEO profile, radical candor culture</w:t>
      </w:r>
    </w:p>
    <w:p>
      <w:pPr>
        <w:spacing w:before="20" w:after="20"/>
        <w:ind w:left="170"/>
      </w:pPr>
      <w:r>
        <w:rPr>
          <w:rFonts w:ascii="Calibri" w:hAnsi="Calibri"/>
          <w:b/>
          <w:color w:val="4A6B25"/>
          <w:sz w:val="15"/>
        </w:rPr>
        <w:t xml:space="preserve">3. </w:t>
      </w:r>
      <w:r>
        <w:rPr>
          <w:rFonts w:ascii="Calibri" w:hAnsi="Calibri"/>
          <w:b w:val="0"/>
          <w:color w:val="3A4A28"/>
          <w:sz w:val="17"/>
        </w:rPr>
        <w:t>ESG Dive — Ally DEI lawsuit dismissed, environmental lending criticism, CSR report analysis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ALLY,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