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ALNY</w:t>
      </w:r>
      <w:r>
        <w:rPr>
          <w:rFonts w:ascii="Calibri" w:hAnsi="Calibri"/>
          <w:b/>
          <w:color w:val="1A2010"/>
          <w:sz w:val="40"/>
        </w:rPr>
        <w:t xml:space="preserve">  Alnylam Pharmaceuticals, Inc.</w:t>
      </w:r>
    </w:p>
    <w:p>
      <w:pPr>
        <w:spacing w:after="120"/>
      </w:pPr>
      <w:r>
        <w:rPr>
          <w:rFonts w:ascii="Calibri" w:hAnsi="Calibri"/>
          <w:b/>
          <w:color w:val="6E8450"/>
          <w:sz w:val="18"/>
        </w:rPr>
        <w:t>GROWTH SLEEVE · 2026-04-28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Alnylam Pharmaceuticals discovers, develops, manufactures, and commercializes therapeutics based on ribonucleic acid interference (RNAi). The company's commercial portfolio includes ONPATTRO and AMVUTTRA for hereditary transthyretin-mediated amyloidosis, GIVLAARI for acute hepatic porphyria, and OXLUMO for primary hyperoxaluria type 1. Alnylam is a pioneer in RNAi therapeutics and is expanding into cardiometabolic disease.</w:t>
      </w:r>
    </w:p>
    <w:p>
      <w:r>
        <w:rPr>
          <w:rFonts w:ascii="Calibri" w:hAnsi="Calibri"/>
          <w:b/>
          <w:color w:val="6E8450"/>
          <w:sz w:val="18"/>
        </w:rPr>
        <w:t>2,500 Employees · https://www.alnylam.com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Alnylam has executed one of biotechnology's most impressive commercial ramp-ups, growing revenue from ~$625M in 2020 to $3.71B in 2025 — an 84.9% YoY increase — driven primarily by AMVUTTRA's blockbuster launch in ATTR cardiomyopathy following the landmark HELIOS-B Phase 3 trial [1]. The company reached GAAP profitability for the first time in 2025 after two decades of losses, validating the entire RNAi platform. AI Deployment (1/2): Alnylam has deployed Amazon Bedrock-based generative AI for operational efficiencies including product complaint management and employee productivity, and partnered with Viz.ai for an FDA-cleared AI echocardiography algorithm to identify cardiac amyloidosis patients earlier [2]. These are meaningful but not revenue-generating AI products. Market Share (2/2): Alnylam is the undisputed leader in RNAi therapeutics, a category the company essentially created and dominates with four approved products and the broadest RNAi pipeline in the industry [1]. Product Pipeline (1/2): The "Alnylam 2030" strategy targets &gt;25% revenue CAGR through 2030, with multiple pipeline programs including ziltivekimab (cardiovascular inflammation) and fitusiran (hemophilia), though specific launch dates for next-gen RNAi molecules beyond current indications remain somewhat general [1]. R&amp;D Intensity (1/1): Alnylam consistently invests heavily in R&amp;D, spending approximately 40-50% of revenue on research, well above biotech peer median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Alnylam's stated purpose is to harness RNAi science to develop transformative medicines for patients with serious diseases — a specific, thoughtful mission that connects the company's pioneering science to patient impact. CEO Yvonne Greenstreet describes pursuing "unreasonable" goals on behalf of patients, reflecting genuine intentionality that differentiates from generic pharma purpose statements [2]. Community Impact (1/2): Alnylam's Corporate Responsibility Framework spans six focus areas (patients, science, employees, communities, planet, governance), and the company has been named one of America's Most Responsible Companies by Newsweek for two consecutive years [3]. Patient access programs provide medication to uninsured and underinsured patients, though specific dollar amounts for charitable giving are not prominently disclosed. Employee Retention (1/2): The leadership team has been relatively stable, with the CEO transition from co-founder John Maraganore to Yvonne Greenstreet in 2022 being orderly and planned. Greenstreet emphasizes a culture of tenacity and accountability, and the company scaled from ~1,700 to 2,500 employees during rapid commercialization without reported cultural disruption [2]. Insider Buying (1/2): Insider transactions show mixed activity; Greenstreet and other executives hold meaningful equity positions, but no standout net insider buying has been reported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Alnylam's Infrastructure scores well on growth-weighted metrics despite a heavily leveraged balance sheet. D/E of 376.2% significantly exceeds the 300% floor, scoring 0 on that metric — reflecting the debt accumulated during Alnylam's pre-profitability years [4]. However, ROE of 73.3% far exceeds the 15% target (score 1.0, 2x weight), and revenue growth is exceptional: 84.9% YoY and an estimated 42.8% 5-year CAGR, both scoring perfect 1.0 (5yr at 2x weight) [1]. Forward P/E of 21.9x is slightly above the 20x target but scores 0.95. Profit margin of 8.4% is still modest at 0.42 as the company just turned profitable [4]. Forward PEG of 0.61 is outstanding, well below the 1.0 target, scoring perfect 1.0 at 2x weight [4]. Liquidity floor easily cleared: 1.26M avg volume × $308.51 = $389M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Alnylam demonstrates strong infinite game characteristics rooted in its two-decade commitment to RNAi science when most of the industry abandoned the platform. CEO Greenstreet's emphasis on pursuing 'unreasonable' goals for patients and the company's willingness to sustain over $10B in cumulative losses before reaching profitability reflect genuine long-term thinking. The 'Alnylam 2030' strategy signals continued commitment to building an enduring RNAi medicines platform rather than optimizing for near-term earnings.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Alnylam's Just Cause — harnessing RNAi to transform treatment of serious diseases — is genuine, distinctive, and partially validated by execution. The company spent 20+ years and over $10B proving that RNAi therapeutics could work when most competitors abandoned the field after the 'RNAi winter' of 2008-2012 [1]. This persistence is cause-driven, not financially motivated — no rational short-term investor would have funded this journey. However, the cause is now entering its commercial validation phase rather than being a decades-proven competitive advantage like NVDA's CUDA ecosystem.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Alnylam shows adequate organizational trust. The CEO transition from founder John Maraganore to Yvonne Greenstreet was planned and orderly, reflecting internal succession capability. Greenstreet emphasizes listening, accountability, and people-focus as core leadership values [2]. The company scaled from ~1,700 to 2,500 employees during rapid commercialization without major cultural disruption. However, there is limited public evidence of exceptional trust metrics like industry-leading tenure or voluntary turnover data.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Alnylam acknowledges competitive pressure from AstraZeneca's Wainua (eplontersen) in the ATTR space and recognizes that late-2026 data readouts could challenge its best-in-class positioning [2]. The company's competitive language focuses on advancing RNAi science and patient outcomes rather than destroying competitors. Management discusses Arrowhead Pharmaceuticals and other RNAi players as validation of the platform rather than threats to defeat.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Alnylam has shown meaningful strategic flexibility within its RNAi platform. The company pivoted from rare disease focus (ONPATTRO, GIVLAARI, OXLUMO) to pursuing the much larger ATTR cardiomyopathy market with AMVUTTRA, fundamentally changing its revenue trajectory from a ~$1B rare disease company to a projected $5B+ cardiometabolic company [1]. The 'Alnylam 2030' strategy signals continued expansion into new therapeutic areas. These are significant pivots within the RNAi platform but not a complete business model transformation.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Alnylam's leadership has demonstrated meaningful courage. The company continued investing heavily in RNAi science during the 'RNAi winter' when the technology was widely dismissed, maintained R&amp;D spending at 40-50% of revenue even as losses mounted to over $1B annually, and CEO Greenstreet has maintained this investment discipline while scaling commercialization [2]. The decision to pursue the massive HELIOS-B trial in ATTR cardiomyopathy — a much larger market than the rare disease indications — was a bold bet that paid off spectacularly [1].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Alnylam is executing one of the most impressive commercial inflections in biotech history, with 2025 revenue of $3.71B (up 85% YoY) and 2026 guidance of $4.9-$5.3B representing 71% growth at midpoint [1]. The company just achieved GAAP profitability after two decades of losses, and the 'Alnylam 2030' strategy targets &gt;25% revenue CAGR through 2030 with ~30% non-GAAP operating margins [1]. AMVUTTRA's dominance in ATTR cardiomyopathy — validated by the landmark HELIOS-B trial showing 28% reduction in cardiovascular death and 33% reduction in cardiovascular events — positions Alnylam as the leader in a market that could exceed $10B globally [1]. At a forward PEG of 0.61 and forward P/E of 21.9x, the stock is attractively valued for a company with this growth profile and expanding margins [4].</w:t>
      </w:r>
    </w:p>
    <w:p>
      <w:pPr>
        <w:spacing w:after="120"/>
      </w:pPr>
      <w:r>
        <w:rPr>
          <w:rFonts w:ascii="Calibri" w:hAnsi="Calibri"/>
          <w:b w:val="0"/>
          <w:color w:val="3A4A28"/>
          <w:sz w:val="20"/>
        </w:rPr>
        <w:t>The bear case centers on Alnylam's concentrated revenue base and emerging competition. Over 80% of revenue comes from the TTR franchise (AMVUTTRA/ONPATTRO), creating significant single-product-line risk [1]. AstraZeneca's Wainua (eplontersen) could show competitive or superior data in late 2026, potentially challenging Alnylam's best-in-class status in ATTR [2]. D/E of 376% reflects the massive debt accumulated during pre-profitability years, and while the company is now cash-flow positive, deleveraging will take time and limits financial flexibility [4]. Profit margin of just 8.4% remains thin for a company at this revenue scale, reflecting the ongoing heavy investment in commercialization infrastructure and pipeline R&amp;D [4]. The trailing P/E of 132x means any deceleration in growth or competitive setback could result in significant multiple compression. Pipeline risk remains — ziltivekimab and fitusiran must succeed to diversify beyond TTR and justify the 'Alnylam 2030' revenue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$4.9-$5.3B representing 71% YoY growth at midpoint, driven by continued AMVUTTRA uptake in ATTR cardiomyopathy with expanding global market access [1]</w:t>
      </w:r>
    </w:p>
    <w:p>
      <w:pPr>
        <w:spacing w:before="40" w:after="40"/>
        <w:ind w:left="283"/>
      </w:pPr>
      <w:r>
        <w:rPr>
          <w:rFonts w:ascii="Calibri" w:hAnsi="Calibri"/>
          <w:b/>
          <w:color w:val="4A6B25"/>
          <w:sz w:val="20"/>
        </w:rPr>
        <w:t xml:space="preserve">2. </w:t>
      </w:r>
      <w:r>
        <w:rPr>
          <w:rFonts w:ascii="Calibri" w:hAnsi="Calibri"/>
          <w:b w:val="0"/>
          <w:color w:val="3A4A28"/>
          <w:sz w:val="20"/>
        </w:rPr>
        <w:t>Alnylam 2030 strategy targeting &gt;25% revenue CAGR and ~30% non-GAAP operating margins by 2030, with multiple pipeline catalysts including ziltivekimab data readouts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the company scales past breakeven — transitioning from 8.4% net margin toward management's 30% non-GAAP operating margin target as commercialization costs are leveraged across a larger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AstraZeneca's Wainua (eplontersen) Phase 3 data expected late 2026 could challenge AMVUTTRA's best-in-class positioning in ATTR, introducing meaningful competitive risk to Alnylam's dominant TTR franchise [2]</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with over 80% from the TTR franchise (AMVUTTRA/ONPATTRO) creates single-product-line vulnerability — any safety signal, pricing pressure, or competitive loss would disproportionately impact the business [1]</w:t>
      </w:r>
    </w:p>
    <w:p>
      <w:pPr>
        <w:spacing w:before="40" w:after="40"/>
        <w:ind w:left="283"/>
      </w:pPr>
      <w:r>
        <w:rPr>
          <w:rFonts w:ascii="Calibri" w:hAnsi="Calibri"/>
          <w:b/>
          <w:color w:val="4A6B25"/>
          <w:sz w:val="20"/>
        </w:rPr>
        <w:t xml:space="preserve">3. </w:t>
      </w:r>
      <w:r>
        <w:rPr>
          <w:rFonts w:ascii="Calibri" w:hAnsi="Calibri"/>
          <w:b w:val="0"/>
          <w:color w:val="3A4A28"/>
          <w:sz w:val="20"/>
        </w:rPr>
        <w:t>High leverage at 376% D/E from pre-profitability debt accumulation constrains financial flexibility and increases refinancing risk if growth decelerates or interest rates remain elevated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Alnylam's core business — discovering, manufacturing, and commercializing RNAi therapeutics — is highly protected from AI disruption. The company's competitive moat rests on proprietary RNAi chemistry platforms (GalNAc conjugation, lipid nanoparticle delivery), a deep patent estate, FDA-approved manufacturing processes, and complex clinical trial expertise that AI cannot substitute [1]. Drug manufacturing and regulatory approval processes are physical-world operations with enormous switching costs. However, AI could accelerate competitor drug discovery timelines, potentially enabling rivals like Arrowhead Pharmaceuticals or AstraZeneca (Wainua/eplontersen) to develop competing ATTR therapies faster [2]. AI Opportunity (1/1): Alnylam generates indirect AI value through its Viz.ai partnership deploying FDA-cleared AI echocardiography for earlier cardiac amyloidosis diagnosis — which directly expands the addressable patient population for AMVUTTRA — and uses Amazon Bedrock generative AI for internal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Alnylam Q4/FY2025 Earnings Release — $3.71B revenue, 85% YoY growth, 2026 guidance $4.9-$5.3B, 'Alnylam 2030' strategy targeting &gt;25% revenue CAGR, February 12, 2026</w:t>
      </w:r>
    </w:p>
    <w:p>
      <w:pPr>
        <w:spacing w:before="20" w:after="20"/>
        <w:ind w:left="170"/>
      </w:pPr>
      <w:r>
        <w:rPr>
          <w:rFonts w:ascii="Calibri" w:hAnsi="Calibri"/>
          <w:b/>
          <w:color w:val="4A6B25"/>
          <w:sz w:val="15"/>
        </w:rPr>
        <w:t xml:space="preserve">2. </w:t>
      </w:r>
      <w:r>
        <w:rPr>
          <w:rFonts w:ascii="Calibri" w:hAnsi="Calibri"/>
          <w:b w:val="0"/>
          <w:color w:val="3A4A28"/>
          <w:sz w:val="17"/>
        </w:rPr>
        <w:t>Alnylam AI and leadership — CEO Yvonne Greenstreet Goldman Sachs interview, Amazon Bedrock AI deployment case study, Viz.ai cardiac amyloidosis AI partnership, AI governance framework; 2024-2026</w:t>
      </w:r>
    </w:p>
    <w:p>
      <w:pPr>
        <w:spacing w:before="20" w:after="20"/>
        <w:ind w:left="170"/>
      </w:pPr>
      <w:r>
        <w:rPr>
          <w:rFonts w:ascii="Calibri" w:hAnsi="Calibri"/>
          <w:b/>
          <w:color w:val="4A6B25"/>
          <w:sz w:val="15"/>
        </w:rPr>
        <w:t xml:space="preserve">3. </w:t>
      </w:r>
      <w:r>
        <w:rPr>
          <w:rFonts w:ascii="Calibri" w:hAnsi="Calibri"/>
          <w:b w:val="0"/>
          <w:color w:val="3A4A28"/>
          <w:sz w:val="17"/>
        </w:rPr>
        <w:t>Alnylam Corporate Responsibility — Newsweek Most Responsible Companies, six-pillar CR Framework (patients, science, employees, communities, planet, governance), inaugural CR Summary 2021;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ALNY (Alnylam Pharmaceuticals),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