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w:t>
      </w:r>
      <w:r>
        <w:rPr>
          <w:rFonts w:ascii="Calibri" w:hAnsi="Calibri"/>
          <w:b/>
          <w:color w:val="1A2010"/>
          <w:sz w:val="40"/>
        </w:rPr>
        <w:t xml:space="preserve">  Altimmune, Inc.</w:t>
      </w:r>
    </w:p>
    <w:p>
      <w:pPr>
        <w:spacing w:after="120"/>
      </w:pPr>
      <w:r>
        <w:rPr>
          <w:rFonts w:ascii="Calibri" w:hAnsi="Calibri"/>
          <w:b/>
          <w:color w:val="6E8450"/>
          <w:sz w:val="18"/>
        </w:rPr>
        <w:t>GROWTH SLEEVE · 2026-03-31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Altimmune is a clinical-stage biopharmaceutical company developing pemvidutide, a GLP-1/glucagon dual receptor agonist, for MASH (metabolic-associated steatohepatitis), obesity, and alcohol use disorder. The company received FDA Breakthrough Therapy Designation for pemvidutide in MASH in January 2026.</w:t>
      </w:r>
    </w:p>
    <w:p>
      <w:r>
        <w:rPr>
          <w:rFonts w:ascii="Calibri" w:hAnsi="Calibri"/>
          <w:b/>
          <w:color w:val="6E8450"/>
          <w:sz w:val="18"/>
        </w:rPr>
        <w:t>57 Employees · https://altimmune.com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Altimmune generates negligible revenue ($26K in Q4 2025 vs. $5K prior year) as a pre-revenue clinical-stage company burning cash [1]. However, the Phase 2b IMPACT trial delivered positive 48-week topline results for pemvidutide in MASH with statistically significant improvements in ELF and LSM versus placebo [1]. AI Deployment (1/2): The company plans to incorporate AIM-MASH AI Assist, the first FDA-qualified AI pathology tool, in its Phase 3 MASH trial — a pragmatic, targeted AI application [2]. Market Share (0/2): No marketed products; competing against Eli Lilly and Novo Nordisk's multi-billion dollar GLP-1 franchises in obesity/MASH. Pipeline (3/2 capped at 2): Pemvidutide's dual GLP-1/glucagon mechanism differentiates from pure GLP-1 agonists; FDA Breakthrough Therapy Designation in MASH validates clinical potential; Phase 2 RECLAIM trial for alcohol use disorder with topline results expected Q3 2026 [1]. R&amp;D Intensity (1/1): Essentially 100% R&amp;D-focused with 57 employees dedicated to clinical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Developing treatments for MASH, obesity, and alcohol use disorder addresses significant unmet medical needs, though the mission is commercially driven rather than patient-access focused. Community Impact (0/2): Minimal community footprint with only 57 employees and no marketed products generating patient benefit yet [2]. Employee Retention (0/2): Glassdoor reviews are scathing — employees describe 'toxic startup culture,' 'leadership has little to no vision,' and 'hobby culture that bleeds from the top.' Only 48% of employees recommend working at Altimmune, with culture rated 3.2/5 [2]. Insider Buying (1/2): New CEO Jerry Durso brings relevant liver disease experience from Intercept Pharmaceuticals, and the board executed a CEO transition during a critical clinical period, suggesting active governance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Altimmune is a pre-revenue company with essentially zero revenue ($41K TTM), negative ROE of -50.6%, and no path to profitability without a successful Phase 3 trial and commercialization [1]. Cash of ~$340M as of February 2026 provides runway, but the forward P/E is negative (-2.3x) reflecting expected continued losses of -$1.36 EPS. Market cap of $401M with $340M cash implies the market values the pipeline at only ~$60M above cash. D/E of 15.9% is low. Beta of 3.82 reflects extreme volatility — stock is down 24% over 52 weeks [1]. Liquidity floor: 4,560,978 avg vol x $3.08 = $14.0M — passes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Altimmune exhibits mixed infinite game characteristics. The pursuit of differentiated MASH and obesity treatments through a novel dual-agonist mechanism reflects scientific ambition, but the CEO transition, toxic culture reviews, and 'high-risk, high-reward' positioning suggest a company focused on near-term binary clinical outcomes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treatments for MASH (affecting ~6% of the global population), obesity, and alcohol use disorder addresses genuine unmet medical needs [1]. The FDA Breakthrough Therapy Designation for pemvidutide in MASH validates the clinical significance of the cause. However, Altimmune competes in a space dominated by Eli Lilly and Novo Nordisk with far greater resources and patient reach.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deep cultural dysfunction — employees describe 'toxic startup culture,' 'unexperienced CEO and leadership team,' and management that 'chases shiny objects and changes the goalposts constantly' [2]. Only 48% recommend working at Altimmune. The CEO transition from Vipin Garg to Jerry Durso in January 2026 adds leadership instability during the critical Phase 3 preparation period. With only 57 employees, individual departures create outsized operational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Altimmune positions pemvidutide's dual GLP-1/glucagon mechanism as differentiated from Eli Lilly's tirzepatide and Novo Nordisk's semaglutide [1]. However, the 'constant stream of innovation from competitors — oral drugs, triple agonists — means patients and doctors can easily switch,' and the market is dominated by giants with immense resources [2]. Altimmune acknowledges the competitive landscape but lacks the scale to shape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Altimmune pivoted from its original antiviral focus to obesity and metabolic diseases, demonstrating existential flexibility at the corporate level. The expansion into alcohol use disorder (RECLAIM trial) shows willingness to explore adjacent indications for pemvidutide [1]. However, the company remains a single-asset story with limited ability to pivot if pemvidutide fails in Phase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Phase 3 development of pemvidutide against well-funded GLP-1 giants requires conviction, and the FDA Breakthrough Therapy Designation validates the scientific approach [1]. The board's decision to execute a CEO transition during a critical period shows governance discipline. However, the $400M shelf registration for potential dilutive capital raises signals financial fragility rather than courageous long-term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Altimmune offers binary upside potential as a clinical-stage biotech with FDA Breakthrough Therapy Designation for pemvidutide in MASH, trading near cash value at $3.08/share with ~$340M cash against a $401M market cap [1]. The dual GLP-1/glucagon mechanism showed 7.5% weight loss at 48 weeks with the 1.8mg dose (no plateauing) and statistically significant improvements in liver fibrosis markers, differentiating from pure GLP-1 agonists [1]. Phase 3 initiation in 2026 with biopsy-based endpoints targeting accelerated approval, plus the RECLAIM Phase 2 readout for alcohol use disorder in Q3 2026, provide multiple near-term catalysts. Titan Partners initiated coverage with a Buy rating and $7 target (&gt;100% upside) in February 2026 [2].</w:t>
      </w:r>
    </w:p>
    <w:p>
      <w:pPr>
        <w:spacing w:after="120"/>
      </w:pPr>
      <w:r>
        <w:rPr>
          <w:rFonts w:ascii="Calibri" w:hAnsi="Calibri"/>
          <w:b w:val="0"/>
          <w:color w:val="3A4A28"/>
          <w:sz w:val="20"/>
        </w:rPr>
        <w:t>The bear case is substantial for this 'high-risk, high-reward' stock [2]. Altimmune competes against Eli Lilly ($700B+) and Novo Nordisk in the GLP-1/obesity space with only 57 employees and no commercial infrastructure. Pemvidutide's 7.5% weight loss at 48 weeks is significantly below tirzepatide's 20%+ results, though MASH efficacy may differentiate. The CEO transition from Vipin Garg to Jerry Durso in January 2026 adds leadership risk during Phase 3 preparation. Glassdoor reviews consistently describe toxic culture and ineffective leadership [2]. The $400M shelf registration signals potential dilutive capital raises. Sustainalytics rates ESG management as 'weak' with the highest controversy level impacting its rating. With beta of 3.82, the stock is extremely volatile — down 24% over 52 weeks and currently at $3.08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Pemvidutide Phase 3 MASH trial initiation in 2026 with biopsy-based endpoints, supported by FDA Breakthrough Therapy Designation and positive 48-week Phase 2b results [1]</w:t>
      </w:r>
    </w:p>
    <w:p>
      <w:pPr>
        <w:spacing w:before="40" w:after="40"/>
        <w:ind w:left="283"/>
      </w:pPr>
      <w:r>
        <w:rPr>
          <w:rFonts w:ascii="Calibri" w:hAnsi="Calibri"/>
          <w:b/>
          <w:color w:val="4A6B25"/>
          <w:sz w:val="20"/>
        </w:rPr>
        <w:t xml:space="preserve">2. </w:t>
      </w:r>
      <w:r>
        <w:rPr>
          <w:rFonts w:ascii="Calibri" w:hAnsi="Calibri"/>
          <w:b w:val="0"/>
          <w:color w:val="3A4A28"/>
          <w:sz w:val="20"/>
        </w:rPr>
        <w:t>RECLAIM Phase 2 trial topline results for pemvidutide in alcohol use disorder expected Q3 2026, providing potential pipeline diversification beyond MASH [1]</w:t>
      </w:r>
    </w:p>
    <w:p>
      <w:pPr>
        <w:spacing w:before="40" w:after="40"/>
        <w:ind w:left="283"/>
      </w:pPr>
      <w:r>
        <w:rPr>
          <w:rFonts w:ascii="Calibri" w:hAnsi="Calibri"/>
          <w:b/>
          <w:color w:val="4A6B25"/>
          <w:sz w:val="20"/>
        </w:rPr>
        <w:t xml:space="preserve">3. </w:t>
      </w:r>
      <w:r>
        <w:rPr>
          <w:rFonts w:ascii="Calibri" w:hAnsi="Calibri"/>
          <w:b w:val="0"/>
          <w:color w:val="3A4A28"/>
          <w:sz w:val="20"/>
        </w:rPr>
        <w:t>Trading near cash value ($3.08 vs. ~$340M cash) creates asymmetric risk/reward if Phase 3 trial design is well-received by the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 pemvidutide Phase 3 failure would likely result in catastrophic share price decline given the company has no other late-stage assets or commercial revenue [1]</w:t>
      </w:r>
    </w:p>
    <w:p>
      <w:pPr>
        <w:spacing w:before="40" w:after="40"/>
        <w:ind w:left="283"/>
      </w:pPr>
      <w:r>
        <w:rPr>
          <w:rFonts w:ascii="Calibri" w:hAnsi="Calibri"/>
          <w:b/>
          <w:color w:val="4A6B25"/>
          <w:sz w:val="20"/>
        </w:rPr>
        <w:t xml:space="preserve">2. </w:t>
      </w:r>
      <w:r>
        <w:rPr>
          <w:rFonts w:ascii="Calibri" w:hAnsi="Calibri"/>
          <w:b w:val="0"/>
          <w:color w:val="3A4A28"/>
          <w:sz w:val="20"/>
        </w:rPr>
        <w:t>Competitive disadvantage vs. Eli Lilly and Novo Nordisk's GLP-1 franchises with vastly greater resources, data, and commercial infrastructure in obesity/MASH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CEO transition in January 2026, toxic culture per Glassdoor reviews, and potential dilutive capital raises via $400M shelf registration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Altimmune's drug development pipeline is somewhat insulated from AI disruption because FDA-regulated clinical trials require human oversight and established regulatory pathways [2]. However, AI-native drug discovery platforms could accelerate competitors' pipelines, particularly in the crowded GLP-1/obesity space where Eli Lilly and Novo Nordisk have vastly greater resources and data. The company's planned use of AIM-MASH AI Assist in Phase 3 trials is a positive but incremental adoption. Altimmune's small size (57 employees) limits internal AI capability. AI Opportunity (1/1): AI could optimize trial recruitment, identify responder biomarkers from pemvidutide clinical data, and accelerate the regulatory timeline — but execution depends on partnerships with specialized AI vendors rather than internal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Altimmune Q4/FY2025 Earnings Release — pemvidutide IMPACT Phase 2b 48-week results, FDA Breakthrough Therapy Designation, ~$340M cash,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(3.2/5 culture, 48% recommend), Simply Wall St, Benzinga, Yahoo Finance — CEO transition, analyst coverage, competitive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(weak management, highest controversy level),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ALT,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