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AMAT</w:t>
      </w:r>
      <w:r>
        <w:rPr>
          <w:rFonts w:ascii="Calibri" w:hAnsi="Calibri"/>
          <w:b/>
          <w:color w:val="1A2010"/>
          <w:sz w:val="40"/>
        </w:rPr>
        <w:t xml:space="preserve">  Applied Materials, Inc.</w:t>
      </w:r>
    </w:p>
    <w:p>
      <w:pPr>
        <w:spacing w:after="120"/>
      </w:pPr>
      <w:r>
        <w:rPr>
          <w:rFonts w:ascii="Calibri" w:hAnsi="Calibri"/>
          <w:b/>
          <w:color w:val="6E8450"/>
          <w:sz w:val="18"/>
        </w:rPr>
        <w:t>GROWTH SLEEVE · 2026-03-28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Applied Materials is the world's largest supplier of semiconductor manufacturing equipment and services, providing materials engineering solutions for etch, deposition, CMP, metrology, inspection, ion implantation, and advanced packaging. The company serves chip manufacturers globally and is a critical enabler of AI chip production through its equipment and EPIC R&amp;D platform.</w:t>
      </w:r>
    </w:p>
    <w:p>
      <w:r>
        <w:rPr>
          <w:rFonts w:ascii="Calibri" w:hAnsi="Calibri"/>
          <w:b/>
          <w:color w:val="6E8450"/>
          <w:sz w:val="18"/>
        </w:rPr>
        <w:t>35,500 Employees · https://www.appliedmaterials.com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Gary Dickerson (since 2013), Applied has grown revenue more than 3.5x and added 8,500+ patents to its innovation portfolio [2]. The company has successfully positioned itself at every major semiconductor inflection — FinFET, EUV enablement, Gate-All-Around (GAA) transistors, 3D packaging, and backside power delivery [2]. Q1 FY2026 delivered record DRAM revenue and record services revenue [1]. AI Deployment (2/2): Applied's EPIC (Equipment &amp; Process Innovation &amp; Commercialization) platform is a multibillion-dollar investment in the world's largest semiconductor R&amp;D facility, accelerating collaborative innovation with customers on AI chip manufacturing processes [2]. The company's AI-enablement strategy targets a 10,000X improvement in performance-per-watt by 2040 [2]. Market Share (1/2): Applied Materials is the largest semiconductor equipment company globally, but competes with ASML in lithography, Lam Research in etch, and KLA in inspection — it is a leader but not dominant across all segments [1]. Pipeline (1/2): Q2 FY2026 guidance projects semiconductor equipment business growth of 20%+ for calendar 2026, with Semiconductor Systems revenue of $5.8B and AGS at $1.6B [1]. CFO confirmed the company is preparing operations for higher demand beginning H2 2026 [1]. R&amp;D Intensity (1/1): Significant R&amp;D investment including the EPIC Center and consistent above-industry-average spending on materials engineering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Applied Materials' purpose is to 'make possible the technology shaping the future' — a specific, thoughtful mission that connects semiconductor equipment to the broader advancement of human technology and AI capability [2]. This is genuinely distinctive and reflected in strategic decisions like the EPIC Center and the Net Zero 2040 Playbook. Community Impact (2/2): Applied targets $1B in spend with women and minority-owned businesses by 2027, has comprehensive sustainability programs with a Net Zero 2040 roadmap, and addresses the semiconductor industry's carbon footprint directly — aiming to prevent a projected 4x increase in sector emissions as revenue doubles by 2030 [3]. Employee Retention (1/2): 35,500 employees globally with Dickerson's 13-year tenure as CEO providing leadership stability. Recognized by Forbes and Barron's as a top-performing CEO. No specific turnover data available but the culture of innovation is cited as an attraction [2]. Insider Buying (1/2): CEO Dickerson has significant equity exposure through long-term compensation, and the company's aggressive share buyback program demonstrates capital allocation alignment with shareholders. No specific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Applied Materials exhibits near-perfect financial metrics across the board. D/E of 33.1% is well below the 70% target, reflecting a fortress balance sheet [4]. ROE of 38.9% is exceptional, more than double the 15% target [4]. Annual revenue grew 4.4% to $28.37B in FY2025 with 5-year CAGR of approximately 10.5%, hitting the target threshold [1]. Forward P/E of 24.4x is above the 20x target but receives a strong 0.89 metric score. Profit margin of 27.8% comfortably exceeds the 20% target, reflecting the pricing power of mission-critical semiconductor equipment [4]. GAAP gross margin of 49.0% in Q1 FY2026 with 20bps YoY improvement shows durable competitive advantages [1]. Liquidity floor is massively cleared at $2.5B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Applied Materials under Gary Dickerson exemplifies infinite game thinking — a 13-year CEO tenure focused on positioning the company at every major technology inflection rather than optimizing quarterly earnings. The EPIC Center investment, the Net Zero 2040 Playbook, and the collaborative industry leadership model all reflect a company building for the long term.</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Applied Materials' purpose of making 'possible the technology shaping the future' has been validated by decades of consistent execution through multiple semiconductor cycles [2]. Dickerson's 13-year tenure has grown revenue 3.5x by consistently identifying and investing in the next technology inflection — from FinFET to GAA to advanced packaging — before customers demanded it. The EPIC Center is a multibillion-dollar bet that collaborative R&amp;D will define the next era of semiconductor innovation. This is a Just Cause that shapes strategic decisions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Applied employs 35,500 people globally with stable leadership under Dickerson for 13 years, providing organizational continuity [2]. The company's innovation culture has produced 8,500+ patents, suggesting empowered engineering teams. Gender diversity targets (25% women globally by 2030) and supplier diversity goals ($1B with minority-owned businesses) indicate inclusive practices [3]. However, no specific employee satisfaction or turnover data is available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Applied explicitly acknowledges and collaborates with rivals — convening 'two dozen Chief Executives and R&amp;D leaders from across Europe' to solve industry challenges, and building the EPIC platform as a collaborative innovation model rather than a proprietary moat [2]. The company frames competition as pushing the entire semiconductor ecosystem forward rather than defeating specific competitors, consistent with infinite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Applied has evolved from a diversified materials company to a focused semiconductor equipment leader, and has successfully pivoted to capture every major technology inflection in chip manufacturing [2]. The transition from traditional planar transistors to 3D architectures (FinFET, GAA) and advanced packaging represents meaningful adaptation. However, the core business model — selling semiconductor manufacturing equipment — has remained fundamentally consistent rather than transformatively reinvented.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multibillion-dollar EPIC Center investment — the world's largest semiconductor R&amp;D facility — represents a massive long-term bet on collaborative innovation when competitors are cutting costs [2]. Dickerson nearly doubled manufacturing capacity to prepare for demand that hasn't fully materialized yet, showing willingness to invest ahead of revenue [1]. The Net Zero 2040 Playbook tackles the industry's projected 4x carbon footprint increase head-on, prioritizing sustainability when it's costly [3]. This is a pattern of choosing long-term capability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Materials is one of the purest plays on the AI semiconductor capex supercycle — the company builds the equipment that manufactures every AI chip, from NVIDIA GPUs to HBM memory to advanced packaging solutions [1][2]. Q1 FY2026 delivered record DRAM revenue and record services revenue, with management guiding for 20%+ equipment business growth in calendar 2026 weighted toward H2 [1]. The financial profile is exceptional: 38.9% ROE, 27.8% profit margins, 33% D/E, and 49% gross margins with expanding trajectory [4]. At 24.4x forward P/E with EPS growing from $9.74 to $13.84 forward, valuation is reasonable for a company at the center of the semiconductor industry's path to $1 trillion in revenue [1]. The EPIC Center and 8,500+ patent portfolio create durable competitive advantages in materials engineering that are difficult to replicate.</w:t>
      </w:r>
    </w:p>
    <w:p>
      <w:pPr>
        <w:spacing w:after="120"/>
      </w:pPr>
      <w:r>
        <w:rPr>
          <w:rFonts w:ascii="Calibri" w:hAnsi="Calibri"/>
          <w:b w:val="0"/>
          <w:color w:val="3A4A28"/>
          <w:sz w:val="20"/>
        </w:rPr>
        <w:t>The bear case focuses on cyclicality and China exposure. Semiconductor equipment is historically cyclical, and the current AI capex boom could cool if hyperscaler spending decelerates or if chip demand fails to meet capacity additions [1]. Revenue growth of 4.4% in FY2025 and a sequential decline in Q1 FY2026 suggest the company is in a transition period before the projected H2 acceleration — if that acceleration disappoints, the stock's premium valuation is vulnerable. China revenue exposure creates geopolitical risk as U.S. export controls continue tightening, potentially limiting Applied's addressable market in one of the world's largest semiconductor manufacturing regions. The 34.6x trailing P/E leaves little margin for error. Competition from ASML, Lam Research, KLA, and Tokyo Electron is intensifying as all equipment makers chase the same AI-driven capex pools.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business projected to grow 20%+ in calendar 2026, with demand acceleration weighted toward H2 driven by hyperscaler AI capex and leading-edge node expansions [1]</w:t>
      </w:r>
    </w:p>
    <w:p>
      <w:pPr>
        <w:spacing w:before="40" w:after="40"/>
        <w:ind w:left="283"/>
      </w:pPr>
      <w:r>
        <w:rPr>
          <w:rFonts w:ascii="Calibri" w:hAnsi="Calibri"/>
          <w:b/>
          <w:color w:val="4A6B25"/>
          <w:sz w:val="20"/>
        </w:rPr>
        <w:t xml:space="preserve">2. </w:t>
      </w:r>
      <w:r>
        <w:rPr>
          <w:rFonts w:ascii="Calibri" w:hAnsi="Calibri"/>
          <w:b w:val="0"/>
          <w:color w:val="3A4A28"/>
          <w:sz w:val="20"/>
        </w:rPr>
        <w:t>EPIC Center launch enabling collaborative R&amp;D on Gate-All-Around transistors, advanced packaging, and backside power delivery — positioning Applied at every major AI chip manufacturing inflection [2]</w:t>
      </w:r>
    </w:p>
    <w:p>
      <w:pPr>
        <w:spacing w:before="40" w:after="40"/>
        <w:ind w:left="283"/>
      </w:pPr>
      <w:r>
        <w:rPr>
          <w:rFonts w:ascii="Calibri" w:hAnsi="Calibri"/>
          <w:b/>
          <w:color w:val="4A6B25"/>
          <w:sz w:val="20"/>
        </w:rPr>
        <w:t xml:space="preserve">3. </w:t>
      </w:r>
      <w:r>
        <w:rPr>
          <w:rFonts w:ascii="Calibri" w:hAnsi="Calibri"/>
          <w:b w:val="0"/>
          <w:color w:val="3A4A28"/>
          <w:sz w:val="20"/>
        </w:rPr>
        <w:t>Record DRAM revenue from HBM (High Bandwidth Memory) production equipment as AI chip demand drives memory architecture evolution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 if hyperscaler AI capex spending decelerates or chip overcapacity develops, Applied's projected 20%+ growth could disappoint and compress the 24.4x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China export control tightening — further U.S. restrictions on semiconductor equipment sales to Chinese fabs would reduce Applied's addressable market in a major revenue region</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intensification — ASML, Lam Research, KLA, and Tokyo Electron are all investing aggressively to capture AI-driven capex, potentially pressuring Applied's market share and pricing power in specific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Applied Materials IS AI infrastructure — the company builds the equipment that manufactures every AI chip on earth, from NVIDIA GPUs to custom AI ASICs [2]. AI cannot displace semiconductor manufacturing equipment; AI growth directly increases demand for Applied's products. The industry projects semiconductor revenue reaching $1 trillion in 2026, with equipment spending expected to grow 20%+ [1]. Every AI model trained, every inference run, every data center built requires chips manufactured on Applied Materials equipment. The company is structurally immune to AI disruption and is the primary beneficiary of AI capex buildout. AI Opportunity (1/1): Applied generates massive AI-linked revenue — record DRAM revenue in Q1 FY2026 driven by HBM (High Bandwidth Memory) demand for AI chips, advanced packaging equipment for chiplet architectures, and GAA transistor equipment for next-generation AI processors [1][2]. AI is the primary demand driver for Applied's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Materials Q1 FY2026 Earnings Release — $7.01B revenue, record DRAM and services revenue, 20%+ CY2026 equipment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Applied Materials corporate strategy — CEO Gary Dickerson 13-year tenure, EPIC Center, AI-enablement playbook, 8,500+ patents, materials engineering innovation, 2026</w:t>
      </w:r>
    </w:p>
    <w:p>
      <w:pPr>
        <w:spacing w:before="20" w:after="20"/>
        <w:ind w:left="170"/>
      </w:pPr>
      <w:r>
        <w:rPr>
          <w:rFonts w:ascii="Calibri" w:hAnsi="Calibri"/>
          <w:b/>
          <w:color w:val="4A6B25"/>
          <w:sz w:val="15"/>
        </w:rPr>
        <w:t xml:space="preserve">3. </w:t>
      </w:r>
      <w:r>
        <w:rPr>
          <w:rFonts w:ascii="Calibri" w:hAnsi="Calibri"/>
          <w:b w:val="0"/>
          <w:color w:val="3A4A28"/>
          <w:sz w:val="17"/>
        </w:rPr>
        <w:t>Applied Materials ESG profile — Net Zero 2040 Playbook, $1B minority supplier diversity target, Sustainalytics Strong rating, MSCI AA Leader,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AMAT (Applied Materials),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