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AMCR</w:t>
      </w:r>
      <w:r>
        <w:rPr>
          <w:rFonts w:ascii="Calibri" w:hAnsi="Calibri"/>
          <w:b/>
          <w:color w:val="1A2010"/>
          <w:sz w:val="40"/>
        </w:rPr>
        <w:t xml:space="preserve">  Amcor plc</w:t>
      </w:r>
    </w:p>
    <w:p>
      <w:pPr>
        <w:spacing w:after="120"/>
      </w:pPr>
      <w:r>
        <w:rPr>
          <w:rFonts w:ascii="Calibri" w:hAnsi="Calibri"/>
          <w:b/>
          <w:color w:val="6E8450"/>
          <w:sz w:val="18"/>
        </w:rPr>
        <w:t>DIVIDEND SLEEVE · 2026-03-28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Switzerland</w:t>
      </w:r>
    </w:p>
    <w:p>
      <w:pPr>
        <w:spacing w:after="80"/>
      </w:pPr>
      <w:r>
        <w:rPr>
          <w:rFonts w:ascii="Calibri" w:hAnsi="Calibri"/>
          <w:b w:val="0"/>
          <w:color w:val="3A4A28"/>
          <w:sz w:val="20"/>
        </w:rPr>
        <w:t>Amcor plc is the global leader in consumer packaging and dispensing solutions following its April 2025 all-stock merger with Berry Global. The combined company operates 400+ manufacturing facilities across 40+ countries, serving healthcare, beauty/wellness, nutrition, and food/beverage markets. Amcor produces flexible packaging (polymer, aluminum, fiber-based) and rigid packaging (containers, closures, dispensing devices).</w:t>
      </w:r>
    </w:p>
    <w:p>
      <w:r>
        <w:rPr>
          <w:rFonts w:ascii="Calibri" w:hAnsi="Calibri"/>
          <w:b/>
          <w:color w:val="6E8450"/>
          <w:sz w:val="18"/>
        </w:rPr>
        <w:t>77,000 Employees · https://www.amcor.com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Berry Global merger (completed April 2025) is a transformative business combination creating the global packaging leader, but this is a consolidation play rather than a product innovation or market pivot [1]. Amcor's core packaging business has been incremental rather than revolutionary over the past 5 years. AI Deployment (1/2): Amcor deploys AI-powered computer vision for safety monitoring and defect detection on production lines, processes 2 billion logged events daily for cybersecurity, and is trialing Greyparrot's AI recyclability platform with Unilever [2]. These are internal efficiency tools, not customer-facing AI products. Market Share (2/2): The Berry merger creates the undisputed global leader in consumer packaging with dominant positions across flexible and rigid packaging, healthcare packaging, and dispensing solutions — 77,000 employees and 400+ facilities is category-defining scale [1]. Pipeline (1/2): Lift-Off innovation challenge invites startups to collaborate on sustainable packaging technologies, and the company is actively reviewing its North American beverage portfolio for optimization [1][2]. R&amp;D Intensity (0/1): R&amp;D spending is not a distinctive differentiator in packaging; innovation occurs primarily through materials science and process efficiency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Amcor's sustainability mission — to develop all packaging to be recyclable or reusable by 2025 — is clear and identifies what the company does and for whom, but doesn't articulate a deeper transformative purpose beyond the obvious sustainability imperative for a plastics company [3]. Community Impact (1/2): Amcor employs 77,000 people globally and has published comprehensive sustainability reports with Science-Based Targets initiative approval for net-zero targets [3]. However, no distinctive charitable foundation or community investment programs beyond standard corporate sustainability. Employee Retention (0/2): Glassdoor rating of 3.6/5 (1,379 reviews) is average, with significant negative reviews citing 'toxic culture,' 'poor management,' 'silos,' and 'turnover increasing' [2]. Executive Team rated C- on Comparably (bottom 35%). Insider Buying (1/2): CEO Peter Konieczny was appointed September 2024 with $7.48M compensation including 80% equity-linked, suggesting alignment, but no specific insider buying data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Post-Berry merger, Amcor's financials reflect integration dynamics. D/E of 138.7% is elevated but manageable for a capital-intensive packaging business [4]. ROE of 7.7% is below the 15% target, compressed by goodwill and intangibles from the $10.4B Berry acquisition [1]. YoY revenue growth of 68.1% is inflated by the merger (organic growth is ~2%) [1]. Forward P/E of 8.8x is attractive, reflecting value pricing for a packaging company. Profit margin of 3.0% is thin, compressed by integration costs and amortization [4]. Payout ratio of 193% is unsustainably high (reflects trailing earnings diluted by merger costs; adjusted EPS guidance of 80-83 cents should normalize this). Dividend paid 12+ consecutive years with steady growth. Infrastructure calculated mechanically: D/E(0.70) + ROE(0.51) + RevYoY(1.0) + Rev5yr(0.48) + FwdPE(1.0) + Margin(0.15) + Payout(0.0) + YrsPaid(1.0,2x) + YrsGrowth(0.5) + DivCAGR(0.33,2x) = 7.01/12 = 5.8 -&gt;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Amcor plays a mixed game — the Berry merger is a bold long-term bet on scale and synergies ($650M target by FY2028), but the company's strategic identity is driven more by financial engineering and consolidation than by a compelling vision of the future of packaging. The sustainability commitment is genuine but common among packaging peers.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Amcor's commitment to developing sustainable packaging solutions and achieving net-zero emissions connects the company's work to environmental stewardship, a genuine cause [3]. The Science-Based Targets initiative approval and 94% recycle-ready flexible packaging portfolio demonstrate execution against this cause. However, the sustainability imperative is table stakes for a packaging company, not a distinctive Just Cause that Sinek would cite as transformative.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 'toxic culture,' 'poor management,' employees 'withholding information deliberately,' 'silos,' and 'turnover increasing' [2]. Executive Team rated C- on Comparably (bottom 35% for companies with 10,000+ employees). CEO Peter Konieczny has been in role less than one year, creating leadership uncertainty. The Berry merger integration adds organizational stress with 77,000 employees across two legacy cultures being combined.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Amcor's competitive response to packaging peers is collaborative and improvement-oriented — the Lift-Off innovation challenge invites external startups to collaborate, the Greyparrot AI trial with Unilever shows willingness to partner across the value chain, and the portfolio review (potentially exiting North American beverage) demonstrates strategic discipline rather than fighting for every market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Berry Global merger is a significant strategic transformation, nearly doubling the company's scale and diversifying from flexible packaging into rigid packaging, healthcare, and dispensing solutions [1]. The willingness to review and potentially exit the North American beverage business shows portfolio discipline. However, this is consolidation within the same industry, not a transformative pivot to a new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the $10.4B Berry merger during a period of weak packaging demand shows willingness to invest counter-cyclically for long-term scale [1]. The $650M synergy target and $260M in FY2026 benefits are specific and ambitious. However, the heavy debt load (~$15B, 4x EBITDA) and below-consensus FY2026 guidance suggest the merger was financially driven rather than cause-driven.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Amcor's Berry Global merger creates the global packaging champion with $19.6B revenue, 400+ facilities, and dominant positions across flexible and rigid packaging for healthcare, food, and consumer products [1]. The synergy opportunity is substantial: $260M in FY2026 benefits building to $650M by FY2028, plus $280M in one-time working capital improvements, with annual cash flow expected to exceed $3B by FY2028 [1]. At 8.8x forward P/E and 6.7% dividend yield, the stock is priced for pessimism — adjusted EPS growth guided at 12-17% constant currency for FY2026 with free cash flow of $1.8-1.9B [1]. CNBC characterized Amcor as 'AI disruption-proof,' and the scale advantages in physical packaging manufacturing create durable competitive positioning [2].</w:t>
      </w:r>
    </w:p>
    <w:p>
      <w:pPr>
        <w:spacing w:after="120"/>
      </w:pPr>
      <w:r>
        <w:rPr>
          <w:rFonts w:ascii="Calibri" w:hAnsi="Calibri"/>
          <w:b w:val="0"/>
          <w:color w:val="3A4A28"/>
          <w:sz w:val="20"/>
        </w:rPr>
        <w:t>The bear case centers on integration execution risk and financial leverage. Amcor carries approximately $15B in debt (~4x EBITDA), creating vulnerability to rising interest rates or an economic downturn that reduces packaging volumes [1]. The payout ratio of 193% on trailing earnings is unsustainable and depends on synergy-driven earnings normalization. Organic volume growth remains weak — volumes were 2% below combined legacy levels in Q1 FY2026 [1]. Glassdoor reviews reveal cultural problems (3.6/5 rating, C- executive team) that could undermine integration of 77,000 employees across two distinct organizational cultures [2]. The mass balance accounting controversy for recycled content claims creates reputational and regulatory risk, particularly under EU Green Claims Directive scrutiny [3]. Profit margin of 3.0% is razor-thin, leaving minimal buffer for integration missteps.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Synergy realization of $260M in FY2026 building to $650M by FY2028 from Berry Global merger, with $280M in one-time working capital benefits driving free cash flow above $3B annually [1]</w:t>
      </w:r>
    </w:p>
    <w:p>
      <w:pPr>
        <w:spacing w:before="40" w:after="40"/>
        <w:ind w:left="283"/>
      </w:pPr>
      <w:r>
        <w:rPr>
          <w:rFonts w:ascii="Calibri" w:hAnsi="Calibri"/>
          <w:b/>
          <w:color w:val="4A6B25"/>
          <w:sz w:val="20"/>
        </w:rPr>
        <w:t xml:space="preserve">2. </w:t>
      </w:r>
      <w:r>
        <w:rPr>
          <w:rFonts w:ascii="Calibri" w:hAnsi="Calibri"/>
          <w:b w:val="0"/>
          <w:color w:val="3A4A28"/>
          <w:sz w:val="20"/>
        </w:rPr>
        <w:t>Adjusted EPS growth of 12-17% constant currency in FY2026 as integration costs normalize and merger benefits flow through [1]</w:t>
      </w:r>
    </w:p>
    <w:p>
      <w:pPr>
        <w:spacing w:before="40" w:after="40"/>
        <w:ind w:left="283"/>
      </w:pPr>
      <w:r>
        <w:rPr>
          <w:rFonts w:ascii="Calibri" w:hAnsi="Calibri"/>
          <w:b/>
          <w:color w:val="4A6B25"/>
          <w:sz w:val="20"/>
        </w:rPr>
        <w:t xml:space="preserve">3. </w:t>
      </w:r>
      <w:r>
        <w:rPr>
          <w:rFonts w:ascii="Calibri" w:hAnsi="Calibri"/>
          <w:b w:val="0"/>
          <w:color w:val="3A4A28"/>
          <w:sz w:val="20"/>
        </w:rPr>
        <w:t>Portfolio optimization including potential divestiture of North American beverage business for ~$100M in proceeds, sharpening focus on higher-margin healthcare and flexible packaging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combining 77,000 employees across 400+ facilities with cultural challenges (Glassdoor 3.6/5, C- executive team) while managing $15B debt load at 4x EBITDA [1][2]</w:t>
      </w:r>
    </w:p>
    <w:p>
      <w:pPr>
        <w:spacing w:before="40" w:after="40"/>
        <w:ind w:left="283"/>
      </w:pPr>
      <w:r>
        <w:rPr>
          <w:rFonts w:ascii="Calibri" w:hAnsi="Calibri"/>
          <w:b/>
          <w:color w:val="4A6B25"/>
          <w:sz w:val="20"/>
        </w:rPr>
        <w:t xml:space="preserve">2. </w:t>
      </w:r>
      <w:r>
        <w:rPr>
          <w:rFonts w:ascii="Calibri" w:hAnsi="Calibri"/>
          <w:b w:val="0"/>
          <w:color w:val="3A4A28"/>
          <w:sz w:val="20"/>
        </w:rPr>
        <w:t>Organic volume weakness — Q1 FY2026 volumes 2% below combined legacy levels despite 71.3% reported revenue growth, suggesting weak underlying demand [1]</w:t>
      </w:r>
    </w:p>
    <w:p>
      <w:pPr>
        <w:spacing w:before="40" w:after="40"/>
        <w:ind w:left="283"/>
      </w:pPr>
      <w:r>
        <w:rPr>
          <w:rFonts w:ascii="Calibri" w:hAnsi="Calibri"/>
          <w:b/>
          <w:color w:val="4A6B25"/>
          <w:sz w:val="20"/>
        </w:rPr>
        <w:t xml:space="preserve">3. </w:t>
      </w:r>
      <w:r>
        <w:rPr>
          <w:rFonts w:ascii="Calibri" w:hAnsi="Calibri"/>
          <w:b w:val="0"/>
          <w:color w:val="3A4A28"/>
          <w:sz w:val="20"/>
        </w:rPr>
        <w:t>Mass balance recycled content accounting controversy creates greenwashing risk under tightening EU Green Claims Directive, with potential for consumer backlash and regulatory penalties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packaging manufacturing — producing containers, flexible films, closures, and dispensing devices — is fundamentally immune to AI displacement. CNBC specifically highlighted Amcor as 'AI disruption-proof,' noting it is a 'cash-flow, scale and execution story' in a resilient end market [2]. AI cannot replace the physical production and distribution of packaging for food, healthcare, and consumer products. The 400+ manufacturing facility footprint creates enormous physical moats. Regulatory requirements for food-contact and pharmaceutical packaging add additional protection. AI Opportunity (0/1): While Amcor uses AI internally for quality control, safety, and cybersecurity, there is no meaningful AI revenue stream — these are cost-reduction tools, not revenue generators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Amcor FY2025 Q4 Results, FY2026 Guidance, and Berry Global Merger Completion, PR Newswire,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Amcor AI Innovation, Glassdoor Reviews, and CNBC AI Disruption-Proof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Amcor Sustainability Report, MSCI AA ESG Rating, and Mass Balance Controversy,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AMCR (Amcor),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