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w:t>
      </w:r>
      <w:r>
        <w:rPr>
          <w:rFonts w:ascii="Calibri" w:hAnsi="Calibri"/>
          <w:b/>
          <w:color w:val="1A2010"/>
          <w:sz w:val="40"/>
        </w:rPr>
        <w:t xml:space="preserve">  AMC Entertainment Holdings, Inc.</w:t>
      </w:r>
    </w:p>
    <w:p>
      <w:pPr>
        <w:spacing w:after="120"/>
      </w:pPr>
      <w:r>
        <w:rPr>
          <w:rFonts w:ascii="Calibri" w:hAnsi="Calibri"/>
          <w:b/>
          <w:color w:val="6E8450"/>
          <w:sz w:val="18"/>
        </w:rPr>
        <w:t>GROWTH SLEEVE · 2026-03-23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AMC Entertainment is the world's largest theatrical exhibition company, owning and operating approximately 900 theatres with 10,000 screens globally. The company operates digital, 3D, IMAX, and dine-in format theatres across the United States and internationally.</w:t>
      </w:r>
    </w:p>
    <w:p>
      <w:r>
        <w:rPr>
          <w:rFonts w:ascii="Calibri" w:hAnsi="Calibri"/>
          <w:b/>
          <w:color w:val="6E8450"/>
          <w:sz w:val="18"/>
        </w:rPr>
        <w:t>2,931 Employees · https://www.amctheatres.com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AMC has incrementally upgraded to premium formats (IMAX, Dolby, dine-in) but has not launched transformative new products or business models in 5 years [1]. AI Deployment (0/2): No evidence of AI deployment in operations or customer experience beyond standard industry analytics [2]. Market Share (1/2): AMC remains the largest theater chain globally, but the theatrical exhibition market itself is structurally challenged by streaming [1]. Pipeline (0/2): No next-generation products announced; the company's growth thesis depends entirely on the strength of Hollywood's movie slate. R&amp;D Intensity (1/1): Investments in premium formats and per-patron revenue optimization demonstrate commitment to experiential differentiation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AMC's mission centers on delivering the best theatrical experience, a functional but generic purpose statement for a cinema chain [2]. Community Impact (1/2): AMC employs thousands and contributes to local entertainment ecosystems, though no distinctive charitable programs were identified. Employee Retention (0/2): Executive team rated 'C-' on Comparably in the bottom 35% of similar-sized companies, and workforce has shrunk from pre-pandemic levels [2]. Insider Buying (1/2): CEO Adam Aron has significant equity alignment through stock compensation, though the meme-stock era dilution has been massive.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AMC's balance sheet remains deeply distressed with $4.1B in debt against negative book value of -$3.69 per share and negative operating cash flow of -$119.8M [1][3]. The stock trades at $0.98, down 76% from its 52-week high of $4.08. While revenue grew 4.6% in 2025 and per-patron records were set, the company remains unprofitable with -13% profit margins and no forward P/E due to projected losses [3]. Liquidity floor is cleared: 36.3M avg volume x $0.98 = $35.5M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AMC under Adam Aron has played a survival game rather than an infinite one, using meme-stock equity dilution, cryptocurrency ventures (accepting Bitcoin/Dogecoin), and financial engineering to stay afloat. The company's decisions are driven by quarterly survival rather than a long-term vision for theatrical exhibition.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AMC articulates no compelling vision for the future of entertainment beyond 'be the biggest theater chain.' Strategic decisions — including crypto acceptance, NFT issuance, and massive share dilution — appear driven by short-term capital needs rather than a purposeful cause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Executive team rated in the bottom 35% on Comparably, and the workforce has been dramatically reduced from pre-pandemic levels [2]. CEO Aron's compensation has drawn shareholder criticism while employees face a challenging operational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AMC's competitive language focuses on being 'the largest' rather than learning from rivals. The company has not demonstrated acknowledgment of how streaming platforms or competitors like Cinemark (which maintained better balance sheet discipline) offer lessons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AMC explored adjacent ventures — cryptocurrency acceptance, popcorn retailing, gold mining investment — but these appear as desperate diversification rather than purposeful strategic pivots [1]. The core business model remains unchanged from pre-pandemic.</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Aron made the bold decision to leverage meme-stock momentum for equity raises that prevented bankruptcy, which showed tactical courage [1]. However, the resulting massive dilution destroyed shareholder value while executive compensation remained elevated, suggesting self-preservation over stakeholder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 set all-time per-patron revenue records in Q4 2025 and management projects the 2026 North American box office could rise $500M-$1B versus 2025, driven by 'Spider-Man: Brand New Day,' 'Avengers: Doomsday,' and other tentpole releases [1]. EBITDA growth of 53% is projected for 2026 as two-thirds of incremental revenue drops to the EBITDA line, and the company has cut total debt by $1.8B since 2020.</w:t>
      </w:r>
    </w:p>
    <w:p>
      <w:pPr>
        <w:spacing w:after="120"/>
      </w:pPr>
      <w:r>
        <w:rPr>
          <w:rFonts w:ascii="Calibri" w:hAnsi="Calibri"/>
          <w:b w:val="0"/>
          <w:color w:val="3A4A28"/>
          <w:sz w:val="20"/>
        </w:rPr>
        <w:t>The bear case is overwhelming: $4.1B in debt against negative book value, negative operating cash flow, no path to GAAP profitability, and a stock price of $0.98 that has fallen 76% from its 52-week high [1][3]. The $2.4B refinancing and at-the-market equity program signal continued dilution. Net leverage of 7x even by year-end 2026 is unsustainable, and the business remains entirely dependent on Hollywood content cycles that AMC cannot control. The analyst consensus price target of $2.22 implies upside but reflects extreme risk tolerance.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Blockbuster 2026 movie slate including 'Avengers: Doomsday' and 'Spider-Man: Brand New Day' could drive 20%+ box office growth [1]</w:t>
      </w:r>
    </w:p>
    <w:p>
      <w:pPr>
        <w:spacing w:before="40" w:after="40"/>
        <w:ind w:left="283"/>
      </w:pPr>
      <w:r>
        <w:rPr>
          <w:rFonts w:ascii="Calibri" w:hAnsi="Calibri"/>
          <w:b/>
          <w:color w:val="4A6B25"/>
          <w:sz w:val="20"/>
        </w:rPr>
        <w:t xml:space="preserve">2. </w:t>
      </w:r>
      <w:r>
        <w:rPr>
          <w:rFonts w:ascii="Calibri" w:hAnsi="Calibri"/>
          <w:b w:val="0"/>
          <w:color w:val="3A4A28"/>
          <w:sz w:val="20"/>
        </w:rPr>
        <w:t>$2.4B refinancing could reduce interest expense and extend debt maturities if completed at favorable terms [1]</w:t>
      </w:r>
    </w:p>
    <w:p>
      <w:pPr>
        <w:spacing w:before="40" w:after="40"/>
        <w:ind w:left="283"/>
      </w:pPr>
      <w:r>
        <w:rPr>
          <w:rFonts w:ascii="Calibri" w:hAnsi="Calibri"/>
          <w:b/>
          <w:color w:val="4A6B25"/>
          <w:sz w:val="20"/>
        </w:rPr>
        <w:t xml:space="preserve">3. </w:t>
      </w:r>
      <w:r>
        <w:rPr>
          <w:rFonts w:ascii="Calibri" w:hAnsi="Calibri"/>
          <w:b w:val="0"/>
          <w:color w:val="3A4A28"/>
          <w:sz w:val="20"/>
        </w:rPr>
        <w:t>Per-patron revenue optimization through premium formats and F&amp;B could improve unit economics beyond volume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$4.1B debt load with negative book value creates bankruptcy risk if box office disappoints or refinancing fails [1]</w:t>
      </w:r>
    </w:p>
    <w:p>
      <w:pPr>
        <w:spacing w:before="40" w:after="40"/>
        <w:ind w:left="283"/>
      </w:pPr>
      <w:r>
        <w:rPr>
          <w:rFonts w:ascii="Calibri" w:hAnsi="Calibri"/>
          <w:b/>
          <w:color w:val="4A6B25"/>
          <w:sz w:val="20"/>
        </w:rPr>
        <w:t xml:space="preserve">2. </w:t>
      </w:r>
      <w:r>
        <w:rPr>
          <w:rFonts w:ascii="Calibri" w:hAnsi="Calibri"/>
          <w:b w:val="0"/>
          <w:color w:val="3A4A28"/>
          <w:sz w:val="20"/>
        </w:rPr>
        <w:t>Continued ATM equity dilution at sub-$1 share prices destroys per-share value for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Streaming competition from Disney+, Netflix, and others reduces theatrical windows and audience demand for all but tentpole releases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Theatrical exhibition is a physical-world experience business that AI cannot directly replace — people go to movie theaters for the communal, immersive experience [2]. While AI-generated content and VFX cost reduction may affect content studios, the theater itself is a distribution channel that benefits from cheaper content production. AI Opportunity (0/1): AMC does not generate revenue from AI products or services and has not announced meaningful AI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AMC Entertainment Q4 2025 Earnings Release and Earnings Call, February 2026</w:t>
      </w:r>
    </w:p>
    <w:p>
      <w:pPr>
        <w:spacing w:before="20" w:after="20"/>
        <w:ind w:left="170"/>
      </w:pPr>
      <w:r>
        <w:rPr>
          <w:rFonts w:ascii="Calibri" w:hAnsi="Calibri"/>
          <w:b/>
          <w:color w:val="4A6B25"/>
          <w:sz w:val="15"/>
        </w:rPr>
        <w:t xml:space="preserve">2. </w:t>
      </w:r>
      <w:r>
        <w:rPr>
          <w:rFonts w:ascii="Calibri" w:hAnsi="Calibri"/>
          <w:b w:val="0"/>
          <w:color w:val="3A4A28"/>
          <w:sz w:val="17"/>
        </w:rPr>
        <w:t>Comparably Executive Ratings and Adam Aron leadership profile,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AMC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