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AMD</w:t>
      </w:r>
      <w:r>
        <w:rPr>
          <w:rFonts w:ascii="Calibri" w:hAnsi="Calibri"/>
          <w:b/>
          <w:color w:val="1A2010"/>
          <w:sz w:val="40"/>
        </w:rPr>
        <w:t xml:space="preserve">  Advanced Micro Devices, Inc.</w:t>
      </w:r>
    </w:p>
    <w:p>
      <w:pPr>
        <w:spacing w:after="120"/>
      </w:pPr>
      <w:r>
        <w:rPr>
          <w:rFonts w:ascii="Calibri" w:hAnsi="Calibri"/>
          <w:b/>
          <w:color w:val="6E8450"/>
          <w:sz w:val="18"/>
        </w:rPr>
        <w:t>GROWTH SLEEVE · 2026-04-01 · Inspire: -67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Advanced Micro Devices designs and sells high-performance computing products including CPUs (EPYC server, Ryzen client), GPUs (Instinct AI accelerators, Radeon), FPGAs (from the Xilinx acquisition), and adaptive SoCs. AMD is the world's second-largest AI accelerator vendor and is rapidly gaining share in data center, client, embedded, and gaming markets. The company's AI product line — Instinct MI300/MI350/MI400 — competes directly with NVIDIA's data center GPUs.</w:t>
      </w:r>
    </w:p>
    <w:p>
      <w:r>
        <w:rPr>
          <w:rFonts w:ascii="Calibri" w:hAnsi="Calibri"/>
          <w:b/>
          <w:color w:val="6E8450"/>
          <w:sz w:val="18"/>
        </w:rPr>
        <w:t>31,000 Employees · https://www.amd.com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Under CEO Lisa Su (since 2014), AMD has undergone one of the most remarkable transformations in technology history — from a near-bankrupt commodity chipmaker to a $347B AI semiconductor leader [1][2]. The $49B Xilinx acquisition (2022) expanded into FPGAs and adaptive computing. The Instinct MI300 (launched December 2023) became AMD's fastest-ramping product ever, generating $4.5B in its first full year. Full-year 2025 revenue reached a record $34.6B (up 34% YoY) [1]. AI Deployment (2/2): AMD generates billions in AI-related revenue — data center GPU revenue is forecast to surge 114% to $15B in 2026, and the MI400 series alone is projected to generate $7.2B [1]. Meta runs Llama 3.1 405B inference exclusively on MI300. OpenAI selected AMD as a preferred partner for 6GW of next-gen AI computing capacity [1][2]. Market Share (2/2): AMD is the world's #2 AI accelerator vendor and the fastest share gainer in server CPUs (EPYC Turin, 5th generation) with data center revenue forecast to reach $28.7B in 2026 (up 73% YoY) [1]. EPYC is gaining significant share against Intel's Xeon in cloud and enterprise. Pipeline (2/2): Instinct MI450 and Helios rack-scale platform (MI455X with 72 accelerators, 31TB HBM4) launching H2 2026, with MI500 series promising 1,000x performance improvements [1][2]. Specific customer commitments include OpenAI 1GW data center and Oracle 50,000 MI450 GPU supercluster starting Q3 2026. R&amp;D Intensity (1/1): AMD targets &gt;35% revenue CAGR with intensive R&amp;D investment in annual AI chip cadence, moving to CDNA Next architecture, and the ROCm open software stack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AMD's purpose of 'building great products that accelerate next-generation computing experiences' is specific, thoughtful, and has been validated by a decade of Su's execution transforming AMD from near-bankruptcy to AI leadership [2]. Su's doctrine — 'focus on what matters most, execute with excellence, and innovate with purpose' — has clearly shaped strategic decisions (exiting unprofitable segments, investing in Zen architecture when skeptics doubted). However, the mission hasn't been tested through the kind of existential sacrifice that would earn a 4/4. Community Impact (1/2): AMD has a $1B partnership with the Department of Energy for AMD-accelerated AI supercomputers at Oak Ridge National Laboratory, and CEO Su is widely recognized as a transformative figure in semiconductor innovation [2]. However, no distinctive charitable foundation or community investment programs with specific dollar amounts were identified. Employee Retention (1/2): AMD employs 31,000 people with a culture described as partnership-focused and analytical under Su's leadership. Su emphasizes that 'nobody has all the good ideas' and fosters collaborative co-development with customers [2]. However, specific retention or tenure data is not publicly available. Insider Buying (1/2): CTO Mark Papermaster purchased $4.01M in shares in October 2025, and Director Kathleen McClure bought $275K in January 2026 — meaningful conviction purchases by senior insiders [3]. Some offsetting selling from other officers under 10b5-1 plans creates roughly balanced activity.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AMD's financial profile shows exceptional growth metrics offset by GAAP margin compression from Xilinx acquisition amortization. D/E of 6.4% is essentially zero leverage — a fortress balance sheet with minimal debt [4]. Revenue growth of 34.1% YoY to $34.6B and a 5-year revenue CAGR of approximately 28.8% are both exceptional, far exceeding the 10% targets [1]. Forward P/E of 19.8x is right at the 20x target — remarkably reasonable for a company growing revenue 34% with an AI GPU business projected to grow 114% [1]. Estimated Forward PEG of approximately 0.57 is well below the 1.0 target, reflecting that the growth rate more than justifies the valuation. Profit margin of 12.5% (GAAP) is below the 20% target, dragged by Xilinx amortization — non-GAAP operating margin is significantly higher. ROE of 7.1% is the biggest drag, well below the 15% target due to GAAP-depressed net income on a large equity base post-Xilinx [4]. AMD targets non-GAAP operating margin above 35% and EPS exceeding $20 [1]. Liquidity is exceptional at $8.1B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AMD under Lisa Su is a textbook infinite game player — Su transformed a near-bankrupt chipmaker into an AI semiconductor leader through a decade of disciplined, purpose-driven execution. The company invests for long-term capability (Zen architecture, CDNA roadmap, annual chip cadence) rather than optimizing for quarterly earnings. Su's philosophy — 'focus on what matters most, execute with excellence, innovate with purpose' — has survived market cycles, competitive pressure from Intel and NVIDIA, and the transformative Xilinx acquisition. The partnership-oriented culture and willingness to make decade-long bets exemplify infinite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(2/3 -&gt; 7/10): AMD's purpose of building high-performance computing that pushes the boundaries of what's possible is genuine and validated by a decade of Su's execution — transforming the company from near-bankruptcy to challenging NVIDIA in AI [2]. The cause is distinctive (not every semiconductor company can credibly claim to be building the future of AI computing) and has survived the Xilinx integration and competitive cycles. However, it hasn't been tested through the kind of multi-decade consistency across leadership transitions that would earn 3/3 — Su IS the cause, and it's unclear if AMD's purpose survives her departure.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(1/2 -&gt; 6/10): Su emphasizes that 'nobody has all the good ideas' and fosters a culture of partnership and co-development with customers [2]. The collaborative approach with Meta, Microsoft, Oracle, and OpenAI suggests empowerment rather than command-and-control. CTO Papermaster's $4M insider purchase demonstrates personal conviction [3]. However, AMD has undergone significant organizational change through the Xilinx integration and rapid hiring, and no specific employee satisfaction or retention data is available to confirm high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(1/1 -&gt; 10/10): Su's competitive framing is definitively infinite — she states 'the AI market is expanding, not shrinking' and that AMD is 'sharing the stage, not chasing it,' explicitly acknowledging NVIDIA's strengths while using rivalry as motivation to improve [2]. Rather than trying to beat NVIDIA on CUDA, AMD built the ROCm open software stack as a differentiated alternative. Su praises NVIDIA's ecosystem while positioning AMD as the platform for choice and openness — a textbook Sinek worthy rival response.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(2/2 -&gt; 10/10): AMD's transformation under Su is one of the most dramatic corporate reinventions in technology history [2]. In 2014, AMD was a money-losing commodity chipmaker with $7B in revenue and a sub-$2B market cap. Su systematically abandoned unprofitable businesses, invested in the Zen CPU architecture when skeptics doubted AMD could compete with Intel, acquired Xilinx for $49B to expand into FPGAs, and pivoted hard into AI accelerators — now a $347B company with $34.6B in revenue. The MI300 to MI400 to MI500 roadmap represents continued existential reinvention driven by the computing innovation cause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(2/2 -&gt; 10/10): Su invested heavily in Zen CPU architecture during AMD's darkest years when the company was nearly bankrupt and analysts questioned whether AMD could survive, let alone compete with Intel [2]. The $49B Xilinx acquisition was a bold bet on adaptive computing. The annual AI chip cadence commitment — MI300, MI350, MI400, MI500 in rapid succession — requires sustained R&amp;D investment over short-term margin optimization. Targeting &gt;35% revenue CAGR and &gt;35% operating margin simultaneously demonstrates the courage to pursue both growth and profitability when the market often forces companies to choose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AMD is the world's #2 AI accelerator vendor experiencing explosive growth — full-year 2025 revenue reached $34.6B (up 34% YoY) with Q4 at a record $10.3B, and Q1 2026 guidance implies 32% YoY growth continuing [1]. The data center segment is projected to reach $28.7B in 2026 (up 73%), with AI GPU revenue alone surging 114% to $15B as MI350 ramps and MI400 launches H2 2026 [1]. OpenAI selected AMD as a preferred partner for 6GW of next-gen AI computing, and Oracle is deploying a 50,000 MI450 GPU supercluster — the largest AMD AI infrastructure commitments ever [1][2]. At 19.8x forward P/E with essentially zero debt (6.4% D/E), AMD is remarkably cheap for a company growing revenue 34% with a clear roadmap to &gt;35% CAGR and &gt;$20 EPS [1]. Lisa Su's transformation of AMD from near-bankruptcy to $347B AI semiconductor leader is one of the most impressive corporate turnarounds in technology history, and the MI450/MI500 roadmap with annual cadence ensures AMD remains a credible NVIDIA challenger [2]. CTO Papermaster's $4M insider purchase in October 2025 signals internal conviction [3].</w:t>
      </w:r>
    </w:p>
    <w:p>
      <w:pPr>
        <w:spacing w:after="120"/>
      </w:pPr>
      <w:r>
        <w:rPr>
          <w:rFonts w:ascii="Calibri" w:hAnsi="Calibri"/>
          <w:b w:val="0"/>
          <w:color w:val="3A4A28"/>
          <w:sz w:val="20"/>
        </w:rPr>
        <w:t>The bear case centers on NVIDIA's dominance and GAAP profitability concerns. NVIDIA still commands 80-90% of the AI accelerator market, and CUDA's entrenched software ecosystem creates switching costs that ROCm has not fully overcome [1]. GAAP profit margin of 12.5% and ROE of 7.1% are depressed by Xilinx acquisition amortization, and while non-GAAP metrics are significantly better, the gap highlights accounting complexity. The trailing P/E of 82x (GAAP) looks expensive despite the forward P/E of 20x — if AI spending growth disappoints or hyperscalers pause capex, the earnings trajectory that justifies the valuation could falter. Q1 2026 guidance of $9.8B includes approximately $100M of MI308 sales to China, flagging export restriction risk as a recurring headwind [1]. AMD's GPU software ecosystem (ROCm) remains less mature than NVIDIA's CUDA, and customer adoption requires significant developer investment in porting workloads. The stock trades near its 50-day SMA of $212 after a volatile period, suggesting the market is still uncertain about whether AMD can sustain 30%+ growth as the AI buildout matures. Gaming segment weakness (-36% in Q4 2025) and embedded segment cyclicality provide additional downside vectors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Instinct MI450 and Helios rack-scale platform (MI455X, 72 accelerators, 31TB HBM4) launching H2 2026, with OpenAI 1GW data center and Oracle 50,000 GPU supercluster commitments providing demand visibility [1][2]</w:t>
      </w:r>
    </w:p>
    <w:p>
      <w:pPr>
        <w:spacing w:before="40" w:after="40"/>
        <w:ind w:left="283"/>
      </w:pPr>
      <w:r>
        <w:rPr>
          <w:rFonts w:ascii="Calibri" w:hAnsi="Calibri"/>
          <w:b/>
          <w:color w:val="4A6B25"/>
          <w:sz w:val="20"/>
        </w:rPr>
        <w:t xml:space="preserve">2. </w:t>
      </w:r>
      <w:r>
        <w:rPr>
          <w:rFonts w:ascii="Calibri" w:hAnsi="Calibri"/>
          <w:b w:val="0"/>
          <w:color w:val="3A4A28"/>
          <w:sz w:val="20"/>
        </w:rPr>
        <w:t>Data center GPU revenue forecast to surge 114% to $15B in 2026 as MI350 ramps and MI400 begins production, with total data center segment projected at $28.7B (up 73%) [1]</w:t>
      </w:r>
    </w:p>
    <w:p>
      <w:pPr>
        <w:spacing w:before="40" w:after="40"/>
        <w:ind w:left="283"/>
      </w:pPr>
      <w:r>
        <w:rPr>
          <w:rFonts w:ascii="Calibri" w:hAnsi="Calibri"/>
          <w:b/>
          <w:color w:val="4A6B25"/>
          <w:sz w:val="20"/>
        </w:rPr>
        <w:t xml:space="preserve">3. </w:t>
      </w:r>
      <w:r>
        <w:rPr>
          <w:rFonts w:ascii="Calibri" w:hAnsi="Calibri"/>
          <w:b w:val="0"/>
          <w:color w:val="3A4A28"/>
          <w:sz w:val="20"/>
        </w:rPr>
        <w:t>Long-term financial targets of &gt;35% revenue CAGR, &gt;35% non-GAAP operating margin, and &gt;$20 EPS signal management's confidence in sustained hypergrowth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NVIDIA's 80-90% AI accelerator market share and CUDA software ecosystem dominance — ROCm's maturity gap creates customer switching cost risk that could cap AMD's share gains [1]</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depression (12.5% margin, 7.1% ROE) from Xilinx acquisition amortization creates disconnect between reported and economic earnings, and trailing P/E of 82x is vulnerable to sentiment shifts [4]</w:t>
      </w:r>
    </w:p>
    <w:p>
      <w:pPr>
        <w:spacing w:before="40" w:after="40"/>
        <w:ind w:left="283"/>
      </w:pPr>
      <w:r>
        <w:rPr>
          <w:rFonts w:ascii="Calibri" w:hAnsi="Calibri"/>
          <w:b/>
          <w:color w:val="4A6B25"/>
          <w:sz w:val="20"/>
        </w:rPr>
        <w:t xml:space="preserve">3. </w:t>
      </w:r>
      <w:r>
        <w:rPr>
          <w:rFonts w:ascii="Calibri" w:hAnsi="Calibri"/>
          <w:b w:val="0"/>
          <w:color w:val="3A4A28"/>
          <w:sz w:val="20"/>
        </w:rPr>
        <w:t>China export restriction risk — $100M MI308 China sales in Q1 2026 guidance highlights ongoing geopolitical headwind, and further restrictions could constrain AMD's addressable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AMD IS AI infrastructure — the company designs and manufactures the GPUs, CPUs, and accelerators that power AI training and inference workloads [1]. You cannot be disrupted by the thing you are building. AI does not threaten AMD; AI is AMD's core growth driver, expanding the data center TAM from $200B in 2025 to a projected $1 trillion by 2030 [1]. EPYC server CPUs and Instinct GPUs are embedded in hyperscaler infrastructure at Meta, Microsoft, Oracle, and now OpenAI. The semiconductor design process itself cannot be replaced by AI — chip architecture requires deep physics expertise, fabrication partnerships (TSMC), and years-long development cycles. Analysts universally view AMD as an AI beneficiary, not a target. AI Opportunity (1/1): AMD generates massive and rapidly growing AI revenue — data center GPU revenue is forecast at $15B in 2026 (up 114% YoY), with the MI400 series alone projected at $7.2B [1]. The OpenAI partnership for 6GW of MI450 GPUs and Oracle's 50,000-GPU supercluster represent the largest AI infrastructure commitments in history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AMD Q4 and Full Year 2025 Results, Q1 2026 Guidance, and Analyst Day financial targets — $34.6B revenue (34% growth), $10.3B Q4 record, data center projections, MI400 roadmap — ir.amd.com, S&amp;P Global, DataCenterDynamics</w:t>
      </w:r>
    </w:p>
    <w:p>
      <w:pPr>
        <w:spacing w:before="20" w:after="20"/>
        <w:ind w:left="170"/>
      </w:pPr>
      <w:r>
        <w:rPr>
          <w:rFonts w:ascii="Calibri" w:hAnsi="Calibri"/>
          <w:b/>
          <w:color w:val="4A6B25"/>
          <w:sz w:val="15"/>
        </w:rPr>
        <w:t xml:space="preserve">2. </w:t>
      </w:r>
      <w:r>
        <w:rPr>
          <w:rFonts w:ascii="Calibri" w:hAnsi="Calibri"/>
          <w:b w:val="0"/>
          <w:color w:val="3A4A28"/>
          <w:sz w:val="17"/>
        </w:rPr>
        <w:t>AMD CEO Lisa Su leadership, culture, AI strategy, CES 2026 keynote, OpenAI/Oracle partnerships, MI400/MI500 roadmap, ROCm ecosystem — SixFiveMedia, Time, TheStreet, AMD Newsroom</w:t>
      </w:r>
    </w:p>
    <w:p>
      <w:pPr>
        <w:spacing w:before="20" w:after="20"/>
        <w:ind w:left="170"/>
      </w:pPr>
      <w:r>
        <w:rPr>
          <w:rFonts w:ascii="Calibri" w:hAnsi="Calibri"/>
          <w:b/>
          <w:color w:val="4A6B25"/>
          <w:sz w:val="15"/>
        </w:rPr>
        <w:t xml:space="preserve">3. </w:t>
      </w:r>
      <w:r>
        <w:rPr>
          <w:rFonts w:ascii="Calibri" w:hAnsi="Calibri"/>
          <w:b w:val="0"/>
          <w:color w:val="3A4A28"/>
          <w:sz w:val="17"/>
        </w:rPr>
        <w:t>AMD insider trading — CTO Papermaster $4.01M purchase (Oct 2025), Director McClure $275K purchase (Jan 2026), net selling from other officers — MarketBeat, StockCircle, TipRanks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AMD (Advanced Micro Devices),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