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AMGN</w:t>
      </w:r>
      <w:r>
        <w:rPr>
          <w:rFonts w:ascii="Calibri" w:hAnsi="Calibri"/>
          <w:b/>
          <w:color w:val="1A2010"/>
          <w:sz w:val="40"/>
        </w:rPr>
        <w:t xml:space="preserve">  Amgen Inc.</w:t>
      </w:r>
    </w:p>
    <w:p>
      <w:pPr>
        <w:spacing w:after="120"/>
      </w:pPr>
      <w:r>
        <w:rPr>
          <w:rFonts w:ascii="Calibri" w:hAnsi="Calibri"/>
          <w:b/>
          <w:color w:val="6E8450"/>
          <w:sz w:val="18"/>
        </w:rPr>
        <w:t>DIVIDEND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Amgen Inc. discovers, develops, manufactures, and delivers human therapeutics worldwide. Founded in 1980 and headquartered in Thousand Oaks, California, Amgen is one of the world's largest independent biotechnology companies with 14 products exceeding $1B in annual sales, spanning oncology, cardiovascular, bone health, inflammation, and rare diseases.</w:t>
      </w:r>
    </w:p>
    <w:p>
      <w:r>
        <w:rPr>
          <w:rFonts w:ascii="Calibri" w:hAnsi="Calibri"/>
          <w:b/>
          <w:color w:val="6E8450"/>
          <w:sz w:val="18"/>
        </w:rPr>
        <w:t>31,500 Employees · https://www.amgen.com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Amgen's acquisition and rapid integration of Horizon Therapeutics ($27.8B, 2023) successfully expanded the portfolio into rare diseases with TEPEZZA and KRYSTEXXA, while Repatha grew 36% YoY and Evenity grew 34% YoY in 2025, demonstrating strong franchise execution and market expansion [1]. AI Deployment (2/2): Amgen has deployed Microsoft Copilot to 20,000 employees and invested in AI-driven drug discovery, with the company's AI strategy described as actively co-opting AI-first biotech companies as collaborative partners into its ecosystem; the company adopted a formal Trustworthy AI Framework [3]. Market Share Leadership (1/2): Amgen holds leading positions in biosimilars and holds dominant share in osteoporosis (Prolia/EVENITY) and cholesterol reduction (Repatha), but faces increasing competition from other large-cap pharma in most categories [1]. Product Pipeline (1/2): The pipeline includes MariTide (obesity), which is the key upcoming catalyst, plus rocatinlimab (dermatology) and IMDELLTRA (oncology), though the obesity program lags behind Lilly and Novo Nordisk [1]. R&amp;D Intensity (1/1): R&amp;D spending of approximately $5.3B in 2025 represents ~14.4% of revenue, above average for large-cap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Amgen's mission 'To serve patients' is simple but deeply embedded in the organization's culture and strategic decisions, as evidenced by 45 years of consistent focus on biotechnology innovation and patient outcomes. CEO Bradway's 2025 shareholder letter emphasizes that eighteen products achieved record sales because of Amgen's commitment to underserved patient populations [1][4]. Community &amp; Charitable Impact (2/2): The Amgen Foundation has invested nearly $270M over 30+ years in science education, reaching approximately 25M students annually worldwide; in 2025, the foundation funded 500 additional research experiences bringing total participation to 6,000+ students — distinctive, measurable, and aligned with the company's scientific mission [5]. Employee Retention (1/2): Glassdoor rating of 3.8/5 across 3,745 reviews is above average, with CEO approval of 87% and employees citing mission alignment and work-life balance as strengths; however, concerns about frequent layoffs and reorganizations suggest periodic instability [3]. Insider Buying (1/2): CEO Robert Bradway made no insider transactions in 18 months — neutral. Net insider selling of 150,543 shares across the broader management team, but no aggressive selling pattern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dividend stock with excellent growth metrics and dividend consistency, partially offset by extreme leverage. D/E of 640% far exceeds the 300% floor (score 0), driven by aggressive debt financing for the Horizon acquisition. However, ROE of 106% scores maximum, revenue grew 10% YoY to $36.8B with 11.8% 3-year CAGR, Forward P/E of 15.1x is well below target, and profit margin of 21.0% exceeds the 20% target. Dividend metrics are strong: 15 consecutive years paid, 14 years of growth, 7.8% 5-year CAGR. Payout ratio of 66.9% is the only moderate weakness. Weighted sum 10.55/12 = 9/10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Amgen demonstrates strong infinite game characteristics through its 45-year commitment to biotechnology innovation, a genuinely patient-centered mission that drives strategic decisions, and a foundation investing $270M in science education. CEO Bradway's 14-year tenure provides leadership continuity, and the Horizon acquisition shows willingness to make large, transformative bets. However, frequent reorganizations and layoffs create trust concerns, and the aggressive financial engineering (640% D/E, heavy buybacks) reflects some finite-minded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Amgen's mission 'To serve patients' has been validated by 45 years of consistent focus on biotechnology to address unmet medical needs. The $27.8B Horizon acquisition was explicitly framed around expanding access to treatments for rare disease patients. However, the mission is common across pharma — what distinguishes Amgen is the consistency of execution rather than the uniqueness of the cause. The simultaneous focus on aggressive buybacks and financial returns introduces tension with the patient-first narrative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3.8/5 rating and 87% CEO approval suggest an above-average workplace. Employees cite the mission and work-life balance as genuine strengths, and the company's science-first culture creates a sense of purpose. However, multiple reviews flag frequent layoffs, reorganizations, and 'heavy organizational structure' as trust-eroding factors, suggesting that while the mission inspires, the operational reality includes periodic instability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Amgen's approach to competition shows infinite-minded characteristics — the company's AI strategy explicitly involves partnering with AI-first biotech competitors rather than trying to destroy them, turning potential rivals into collaborators. The MariTide obesity program acknowledges Lilly and Novo Nordisk's lead as motivation to differentiate rather than simply 'beat' them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$27.8B Horizon Therapeutics acquisition represented a significant strategic expansion from Amgen's traditional oncology and inflammation focus into rare diseases, showing willingness to make bold moves. The company's pivot to embrace AI across 20,000 employees demonstrates adaptive capacity. However, the core business model of discovering and selling biologics has remained fundamentally unchanged for 45 years — the pivots are expansions, not reinventions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Horizon acquisition required $27.8B in financing that pushed D/E to 640%, demonstrating willingness to accept near-term balance sheet risk for long-term portfolio transformation. Amgen's consistent 14%+ R&amp;D investment shows commitment to innovation. However, the company simultaneously conducts aggressive share buybacks and has engaged in periodic layoffs, suggesting a dual focus on long-term innovation and short-term financial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Amgen delivers a rare combination of large-cap pharma growth and income, with FY2025 revenue reaching $36.8B (up 10% YoY), 18 products at record sales, 14 products exceeding $1B annually, and a 2.9% dividend yield growing at 7.8% annually for 14 consecutive years [1][2]. Forward P/E of 15.1x is attractive for a company guiding $37.0-$38.4B in 2026 revenue with 45-46% non-GAAP operating margins, and the Horizon integration is delivering with TEPEZZA and KRYSTEXXA expanding the rare disease franchise. Repatha (36% YoY growth) and Evenity (34% YoY growth) are emerging blockbusters that provide durable revenue acceleration [1].</w:t>
      </w:r>
    </w:p>
    <w:p>
      <w:pPr>
        <w:spacing w:after="120"/>
      </w:pPr>
      <w:r>
        <w:rPr>
          <w:rFonts w:ascii="Calibri" w:hAnsi="Calibri"/>
          <w:b w:val="0"/>
          <w:color w:val="3A4A28"/>
          <w:sz w:val="20"/>
        </w:rPr>
        <w:t>The primary risk is Amgen's extreme leverage — D/E of 640% reflects $64B+ in debt largely from the Horizon acquisition, creating meaningful refinancing risk in a higher-rate environment and limiting strategic flexibility for future large-scale M&amp;A. The obesity pipeline (MariTide) is critical to the long-term growth thesis but lags significantly behind Eli Lilly and Novo Nordisk, and clinical trial setbacks could collapse a major component of the forward valuation. Patent cliffs on legacy products (Enbrel, Otezla) will create revenue headwinds over the next 3-5 years, and the 66.9% payout ratio provides limited cushion for dividend growth if earnings disappoint [1][2]. Frequent reorganizations and layoffs signal ongoing cost pressure that may impact R&amp;D productivity.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MariTide Phase 3 obesity data readout expected in 2026-2027, potentially unlocking access to a $100B+ GLP-1 market as a differentiated monthly injection option</w:t>
      </w:r>
    </w:p>
    <w:p>
      <w:pPr>
        <w:spacing w:before="40" w:after="40"/>
        <w:ind w:left="283"/>
      </w:pPr>
      <w:r>
        <w:rPr>
          <w:rFonts w:ascii="Calibri" w:hAnsi="Calibri"/>
          <w:b/>
          <w:color w:val="4A6B25"/>
          <w:sz w:val="20"/>
        </w:rPr>
        <w:t xml:space="preserve">2. </w:t>
      </w:r>
      <w:r>
        <w:rPr>
          <w:rFonts w:ascii="Calibri" w:hAnsi="Calibri"/>
          <w:b w:val="0"/>
          <w:color w:val="3A4A28"/>
          <w:sz w:val="20"/>
        </w:rPr>
        <w:t>Continued Repatha and Evenity revenue acceleration (36% and 34% YoY growth respectively) driving organic growth independent of the obesity pipeline</w:t>
      </w:r>
    </w:p>
    <w:p>
      <w:pPr>
        <w:spacing w:before="40" w:after="40"/>
        <w:ind w:left="283"/>
      </w:pPr>
      <w:r>
        <w:rPr>
          <w:rFonts w:ascii="Calibri" w:hAnsi="Calibri"/>
          <w:b/>
          <w:color w:val="4A6B25"/>
          <w:sz w:val="20"/>
        </w:rPr>
        <w:t xml:space="preserve">3. </w:t>
      </w:r>
      <w:r>
        <w:rPr>
          <w:rFonts w:ascii="Calibri" w:hAnsi="Calibri"/>
          <w:b w:val="0"/>
          <w:color w:val="3A4A28"/>
          <w:sz w:val="20"/>
        </w:rPr>
        <w:t>Horizon integration synergies and TEPEZZA/KRYSTEXXA rare disease revenue expansion, demonstrating the strategic value of the $27.8B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640% creates refinancing risk and limits balance sheet flexibility — rising rates or earnings disappointments could pressure the investment-grade credit rating</w:t>
      </w:r>
    </w:p>
    <w:p>
      <w:pPr>
        <w:spacing w:before="40" w:after="40"/>
        <w:ind w:left="283"/>
      </w:pPr>
      <w:r>
        <w:rPr>
          <w:rFonts w:ascii="Calibri" w:hAnsi="Calibri"/>
          <w:b/>
          <w:color w:val="4A6B25"/>
          <w:sz w:val="20"/>
        </w:rPr>
        <w:t xml:space="preserve">2. </w:t>
      </w:r>
      <w:r>
        <w:rPr>
          <w:rFonts w:ascii="Calibri" w:hAnsi="Calibri"/>
          <w:b w:val="0"/>
          <w:color w:val="3A4A28"/>
          <w:sz w:val="20"/>
        </w:rPr>
        <w:t>MariTide clinical failure or inferior data versus Lilly's tirzepatide and Novo's semaglutide would eliminate the largest single driver of forward valuation premium</w:t>
      </w:r>
    </w:p>
    <w:p>
      <w:pPr>
        <w:spacing w:before="40" w:after="40"/>
        <w:ind w:left="283"/>
      </w:pPr>
      <w:r>
        <w:rPr>
          <w:rFonts w:ascii="Calibri" w:hAnsi="Calibri"/>
          <w:b/>
          <w:color w:val="4A6B25"/>
          <w:sz w:val="20"/>
        </w:rPr>
        <w:t xml:space="preserve">3. </w:t>
      </w:r>
      <w:r>
        <w:rPr>
          <w:rFonts w:ascii="Calibri" w:hAnsi="Calibri"/>
          <w:b w:val="0"/>
          <w:color w:val="3A4A28"/>
          <w:sz w:val="20"/>
        </w:rPr>
        <w:t>Patent expirations on legacy franchises (Enbrel biosimilar competition, Otezla) creating revenue cliffs that must be offset by pipeline products and Horizon synergies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Amgen's core business — discovering, manufacturing, and delivering biologic therapeutics — requires complex protein engineering, FDA-regulated clinical trials, and sophisticated biomanufacturing capabilities that AI cannot substitute. Drug development involves decades-long regulatory processes and physical-world clinical evidence that creates structural immunity from AI displacement. The pharmaceutical sector benefits from AI as an enabler (accelerating drug discovery, optimizing manufacturing) rather than facing it as a disruptor [3][7]. AI Opportunity (1/1): Amgen generates meaningful AI-derived value through deployment of Microsoft Copilot to 20,000 employees, AI-driven drug discovery partnerships, and a formal Trustworthy AI Framework that positions the company to leverage AI as a competitive advantage in biopharmaceutical R&amp;D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Amgen Q4 and Full Year 2025 Financial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Amgen Highlights from 2025 Fourth Quarter and Full Year Earnings Report, February 2026</w:t>
      </w:r>
    </w:p>
    <w:p>
      <w:pPr>
        <w:spacing w:before="20" w:after="20"/>
        <w:ind w:left="170"/>
      </w:pPr>
      <w:r>
        <w:rPr>
          <w:rFonts w:ascii="Calibri" w:hAnsi="Calibri"/>
          <w:b/>
          <w:color w:val="4A6B25"/>
          <w:sz w:val="15"/>
        </w:rPr>
        <w:t xml:space="preserve">3. </w:t>
      </w:r>
      <w:r>
        <w:rPr>
          <w:rFonts w:ascii="Calibri" w:hAnsi="Calibri"/>
          <w:b w:val="0"/>
          <w:color w:val="3A4A28"/>
          <w:sz w:val="17"/>
        </w:rPr>
        <w:t>Klover.ai — Amgen's AI Strategy: Analysis of Dominance in Biopharmaceutical AI; Glassdoor Reviews (3,745)</w:t>
      </w:r>
    </w:p>
    <w:p>
      <w:pPr>
        <w:spacing w:before="20" w:after="20"/>
        <w:ind w:left="170"/>
      </w:pPr>
      <w:r>
        <w:rPr>
          <w:rFonts w:ascii="Calibri" w:hAnsi="Calibri"/>
          <w:b/>
          <w:color w:val="4A6B25"/>
          <w:sz w:val="15"/>
        </w:rPr>
        <w:t xml:space="preserve">4. </w:t>
      </w:r>
      <w:r>
        <w:rPr>
          <w:rFonts w:ascii="Calibri" w:hAnsi="Calibri"/>
          <w:b w:val="0"/>
          <w:color w:val="3A4A28"/>
          <w:sz w:val="17"/>
        </w:rPr>
        <w:t>Amgen Corporate Website — Leadership, Mission, and About,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Amgen CEO Bob Bradway's 2025 Letter to Shareholders, March 2026; Amgen Foundation Programs</w:t>
      </w:r>
    </w:p>
    <w:p>
      <w:pPr>
        <w:spacing w:before="20" w:after="20"/>
        <w:ind w:left="170"/>
      </w:pPr>
      <w:r>
        <w:rPr>
          <w:rFonts w:ascii="Calibri" w:hAnsi="Calibri"/>
          <w:b/>
          <w:color w:val="4A6B25"/>
          <w:sz w:val="15"/>
        </w:rPr>
        <w:t xml:space="preserve">6. </w:t>
      </w:r>
      <w:r>
        <w:rPr>
          <w:rFonts w:ascii="Calibri" w:hAnsi="Calibri"/>
          <w:b w:val="0"/>
          <w:color w:val="3A4A28"/>
          <w:sz w:val="17"/>
        </w:rPr>
        <w:t>GuruFocus — Robert A Bradway Net Worth and Insider Trading,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Amgen Corporate Sustainability Strategy — ESG Report and Trustworthy AI Framework,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