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AMH</w:t>
      </w:r>
      <w:r>
        <w:rPr>
          <w:rFonts w:ascii="Calibri" w:hAnsi="Calibri"/>
          <w:b/>
          <w:color w:val="1A2010"/>
          <w:sz w:val="40"/>
        </w:rPr>
        <w:t xml:space="preserve">  American Homes 4 Rent</w:t>
      </w:r>
    </w:p>
    <w:p>
      <w:pPr>
        <w:spacing w:after="120"/>
      </w:pPr>
      <w:r>
        <w:rPr>
          <w:rFonts w:ascii="Calibri" w:hAnsi="Calibri"/>
          <w:b/>
          <w:color w:val="6E8450"/>
          <w:sz w:val="18"/>
        </w:rPr>
        <w:t>DIVIDEND SLEEVE · 2026-04-01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American Homes 4 Rent is an internally managed REIT that develops, renovates, leases, and manages single-family homes as rental properties across 24 states. As of December 31, 2025, the portfolio includes 61,479 single-family properties with 56,756 occupied, plus 3,785 in unconsolidated joint ventures. The company also operates an internal development program delivering 1,700-2,100 new built-for-rental homes annually.</w:t>
      </w:r>
    </w:p>
    <w:p>
      <w:r>
        <w:rPr>
          <w:rFonts w:ascii="Calibri" w:hAnsi="Calibri"/>
          <w:b/>
          <w:color w:val="6E8450"/>
          <w:sz w:val="18"/>
        </w:rPr>
        <w:t>1,598 Employees · https://www.amh.com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AMH's internal Development Program, launched in 2017, represents a significant business model innovation — building purpose-built rental homes at scale rather than acquiring existing inventory, delivering 2,300 homes in 2025 with $650-850M guided capital investment in 2026 [1]. Smart home integrations including smart locks have boosted resident retention to 65% [2]. AI Deployment (1/2): AMH deploys AI-driven dynamic pricing models to optimize rents, which analysts estimate could lift NOI by approximately 100 basis points [2]. The proprietary property management platform enables data-driven leasing and maintenance operations across 61,479 homes. Market Share (1/2): AMH is the second-largest single-family rental REIT after Invitation Homes, and one of the top 50 homebuilders in the U.S. [3]. The company defines the built-for-rental category but does not dominate it outright. Pipeline (1/2): 2026 guidance of 1,700-2,100 development deliveries provides clear pipeline visibility, though moderated from 2,300 in 2025 [1]. The $500M share repurchase program signals capital allocation flexibility. R&amp;D Intensity (0/1): As a REIT, R&amp;D spending is minimal relative to revenue; technology investments exist but are not differentiated at a sector-leading level.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AMH's stated goal is to 'simplify the experience of leasing a home and provide an accessible housing option' while 'being part of the solution' to the national housing shortage [2]. This is clear and connects the business to a broader societal need, but is not deeply distinctive or transformative. Community Impact (2/2): AMH addresses the national housing shortage by building thousands of new rental homes annually, providing housing to ~57,000 families [1]. Named a Great Place to Work and one of America's Most Responsible Companies by Newsweek [2]. Sustainalytics rates ESG management as 'Strong' [3]. Employee Retention (1/2): 77% of employees recommend AMH on Glassdoor (485 reviews), with 4.0/5 overall rating and 75% positive business outlook [2]. Employees cite career development, benefits, and coworkers as positives, though senior leadership draws criticism. Insider Buying (1/2): $500M share repurchase program authorized, with $150M repurchased in Q4 2025 and $115.1M in January 2026, demonstrating strong capital return conviction [1]. CEO Bryan Smith's $4.41M compensation is 83.4% equity-based.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AMH's balance sheet is conservatively managed with D/E of 66.3% — just below the 70% target — reflecting disciplined leverage for a REIT [4]. Profit margin of 24.5% and gross margin of 56.2% demonstrate strong rental economics [4]. Revenue grew 4.2% YoY to $1.85B with an estimated 5yr CAGR of 8.7%, showing consistent organic growth [1][4]. Core FFO of $1.87/share in 2025 growing to guided $1.89-1.95 in 2026 provides earnings visibility [1]. The 10% dividend increase to $0.33/share and approximately 10 consecutive years of dividend payments score well on income metrics. Forward P/E of 40.7x appears elevated on a GAAP basis but reflects REIT accounting (FFO-based valuation of ~15x is more appropriate). Operating cash flow of $864M and free cash flow of $720M provide strong capital allocation flexibility [4]. Liquidity floor easily cleared: $125M daily traded value. The GAAP payout ratio of 101.7% penalizes the score but is an artifact of REIT depreciation accounting.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AMH exhibits mixed infinite game characteristics — the built-for-rental development program represents genuine long-term thinking about addressing the housing shortage, and the company's consistent growth since 2012 demonstrates strategic patience. However, the regulatory and political vulnerability (Trump comments on restricting institutional home purchases) reveals a business model that may not be resilient to existential challenges, and the recent CEO transition after just one year raises questions about leadership continuity.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 7/10): AMH's purpose — simplifying the rental experience while addressing the national housing shortage through new construction — connects the business to a genuine societal need [2]. The Development Program, launched in 2017, represents strategic investment in housing supply rather than merely extracting value from existing stock. However, the Just Cause is partially undermined by tenant satisfaction issues (1.4/5 Yelp rating with complaints about aggressive deposit practices and steep rent increases), suggesting the company's lived experience doesn't fully match its stated purpose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 6/10): Glassdoor rating of 4.0/5 with 77% recommendation rate indicates adequate trust [2]. Employees highlight career development, benefits, and tuition reimbursement as positives. Named a Great Place to Work. However, employees also cite senior leadership and management as negatives, and the executive team receives a C- rating on Comparably, ranking in the bottom 35% of similar-sized companies [2]. The January 2025 CEO transition from David Singelyn to Bryan Smith appears smooth but is still early.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 10/10): AMH operates in constructive competition with Invitation Homes, the larger single-family rental REIT, and uses competitive dynamics to improve its own operations [2]. The built-for-rental strategy was partially inspired by the need to differentiate from competitors' acquisition-heavy models. Management acknowledges market conditions and competitor positioning without aggressive 'winning' language, focusing instead on AMH's unique development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AMH's pivot from pure acquisition to internal development (launched 2017) represents meaningful business model evolution — the company now builds thousands of purpose-built rental homes annually rather than relying solely on scattered-site acquisitions [1]. The recent $500M buyback program and moderation of development deliveries (from 2,300 to 1,700-2,100) show willingness to adapt capital allocation to market conditions. However, these are incremental changes,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 2/10): AMH has not demonstrated courageous long-term decisions that sacrifice near-term results. The company guides conservative 2.7% FFO growth for 2026 and moderates development deliveries in response to market conditions — prudent but not bold [1]. The $500M buyback program during a stock decline is defensive capital allocation, not visionary investment. No evidence of leadership taking principled stances that cost money or investing aggressively against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AMH offers a high-quality single-family rental platform with 61,479 homes across 24 states, conservative D/E of 66.3%, and a differentiated built-for-rental development program that addresses the national housing shortage while generating consistent growth [1][4]. The 10% dividend increase to $0.33/share (4.41% yield) and $500M buyback authorization signal shareholder-friendly capital allocation [1]. Core FFO guidance of $1.89-1.95 for 2026 represents steady 2.7% growth, and the AI-driven pricing optimization adds incremental NOI upside [1][2]. At $27.92, the stock trades near its 52-week low of $27.22 with analyst mean price target of $36.60, implying 31% upside [2]. Operating cash flow of $864M and free cash flow of $720M provide a substantial reinvestment and return capacity [4].</w:t>
      </w:r>
    </w:p>
    <w:p>
      <w:pPr>
        <w:spacing w:after="120"/>
      </w:pPr>
      <w:r>
        <w:rPr>
          <w:rFonts w:ascii="Calibri" w:hAnsi="Calibri"/>
          <w:b w:val="0"/>
          <w:color w:val="3A4A28"/>
          <w:sz w:val="20"/>
        </w:rPr>
        <w:t>The bear case centers on regulatory and macro risks. President Trump's comments on restricting institutional purchases of single-family homes, combined with bipartisan Senate proposals, create a material regulatory overhang that could limit AMH's growth-by-acquisition strategy [2][3]. Deutsche Bank lowered its price target to $30 and Mizuho to $29, both citing softening rental trends and regulatory headwinds [2]. Revenue growth of 4.2% and FFO growth of 2.7% are decelerating, suggesting the high-growth phase is ending. Forward P/E of 40.7x on GAAP earnings appears expensive (though FFO-based P/FFO of ~15x is more reasonable). Tenant satisfaction is concerning — 1.4/5 Yelp rating with complaints about aggressive deposit practices and steep rent increases could attract further regulatory scrutiny [3]. The indirect AI risk through job displacement weakening rental demand is a longer-term macro concern flagged by multiple analysts [2]. ROE of 6.6% is low even for a REIT, reflecting the capital-intensive nature of single-family home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 dividend increase and $500M buyback program provide near-term shareholder returns, with potential for further dividend growth as FFO expands [1]</w:t>
      </w:r>
    </w:p>
    <w:p>
      <w:pPr>
        <w:spacing w:before="40" w:after="40"/>
        <w:ind w:left="283"/>
      </w:pPr>
      <w:r>
        <w:rPr>
          <w:rFonts w:ascii="Calibri" w:hAnsi="Calibri"/>
          <w:b/>
          <w:color w:val="4A6B25"/>
          <w:sz w:val="20"/>
        </w:rPr>
        <w:t xml:space="preserve">2. </w:t>
      </w:r>
      <w:r>
        <w:rPr>
          <w:rFonts w:ascii="Calibri" w:hAnsi="Calibri"/>
          <w:b w:val="0"/>
          <w:color w:val="3A4A28"/>
          <w:sz w:val="20"/>
        </w:rPr>
        <w:t>1,700-2,100 development deliveries in 2026 at $650-850M investment, adding high-quality built-for-rental inventory with better economics than acquired homes [1]</w:t>
      </w:r>
    </w:p>
    <w:p>
      <w:pPr>
        <w:spacing w:before="40" w:after="40"/>
        <w:ind w:left="283"/>
      </w:pPr>
      <w:r>
        <w:rPr>
          <w:rFonts w:ascii="Calibri" w:hAnsi="Calibri"/>
          <w:b/>
          <w:color w:val="4A6B25"/>
          <w:sz w:val="20"/>
        </w:rPr>
        <w:t xml:space="preserve">3. </w:t>
      </w:r>
      <w:r>
        <w:rPr>
          <w:rFonts w:ascii="Calibri" w:hAnsi="Calibri"/>
          <w:b w:val="0"/>
          <w:color w:val="3A4A28"/>
          <w:sz w:val="20"/>
        </w:rPr>
        <w:t>AI-driven dynamic pricing optimization estimated to add ~100 basis points to NOI, incrementally improving margins across 61,479 properties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risk — bipartisan proposals to restrict institutional single-family purchases and President Trump's comments create an existential policy overhang on the core business model [2][3]</w:t>
      </w:r>
    </w:p>
    <w:p>
      <w:pPr>
        <w:spacing w:before="40" w:after="40"/>
        <w:ind w:left="283"/>
      </w:pPr>
      <w:r>
        <w:rPr>
          <w:rFonts w:ascii="Calibri" w:hAnsi="Calibri"/>
          <w:b/>
          <w:color w:val="4A6B25"/>
          <w:sz w:val="20"/>
        </w:rPr>
        <w:t xml:space="preserve">2. </w:t>
      </w:r>
      <w:r>
        <w:rPr>
          <w:rFonts w:ascii="Calibri" w:hAnsi="Calibri"/>
          <w:b w:val="0"/>
          <w:color w:val="3A4A28"/>
          <w:sz w:val="20"/>
        </w:rPr>
        <w:t>Decelerating growth — FFO growth moderating to 2.7% in 2026 guidance and development deliveries declining from 2,300 to 1,700-2,100 suggest the high-growth phase is ending [1]</w:t>
      </w:r>
    </w:p>
    <w:p>
      <w:pPr>
        <w:spacing w:before="40" w:after="40"/>
        <w:ind w:left="283"/>
      </w:pPr>
      <w:r>
        <w:rPr>
          <w:rFonts w:ascii="Calibri" w:hAnsi="Calibri"/>
          <w:b/>
          <w:color w:val="4A6B25"/>
          <w:sz w:val="20"/>
        </w:rPr>
        <w:t xml:space="preserve">3. </w:t>
      </w:r>
      <w:r>
        <w:rPr>
          <w:rFonts w:ascii="Calibri" w:hAnsi="Calibri"/>
          <w:b w:val="0"/>
          <w:color w:val="3A4A28"/>
          <w:sz w:val="20"/>
        </w:rPr>
        <w:t>Tenant satisfaction concerns — 1.4/5 Yelp rating with complaints about aggressive practices could attract regulatory attention and damage the brand's residential rental proposition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AMH's core business — owning, developing, and managing 61,479 physical single-family homes — is structurally immune to AI substitution [2]. Residential housing is essential physical infrastructure that cannot be digitized or automated away. The built-for-rental development program involves construction, land acquisition, and property management that require real-world operations. However, AMH faces indirect AI risk through macro channels: analysts have flagged potential AI-driven job displacement weakening rental demand, with Redfin surveys showing 59% of residents believe AI will eliminate jobs and reduce housing affordability [2]. Regulatory risk from bipartisan proposals restricting institutional single-family purchases represents a governance threat amplified by political sentiment. AI Opportunity (1/1): AMH generates quantifiable value from AI through dynamic pricing optimization estimated to add ~100 basis points to NOI, plus smart home technology integrations that boost resident retention to 65%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Homes 4 Rent Q4 2025 Earnings Release — $455.0M revenue, $0.47 Core FFO, 2026 guidance of $1.89-1.95 FFO/share, February 2026</w:t>
      </w:r>
    </w:p>
    <w:p>
      <w:pPr>
        <w:spacing w:before="20" w:after="20"/>
        <w:ind w:left="170"/>
      </w:pPr>
      <w:r>
        <w:rPr>
          <w:rFonts w:ascii="Calibri" w:hAnsi="Calibri"/>
          <w:b/>
          <w:color w:val="4A6B25"/>
          <w:sz w:val="15"/>
        </w:rPr>
        <w:t xml:space="preserve">2. </w:t>
      </w:r>
      <w:r>
        <w:rPr>
          <w:rFonts w:ascii="Calibri" w:hAnsi="Calibri"/>
          <w:b w:val="0"/>
          <w:color w:val="3A4A28"/>
          <w:sz w:val="17"/>
        </w:rPr>
        <w:t>AMH SWOT analysis, analyst reports (Deutsche Bank, Mizuho), Glassdoor reviews (4.0/5), AI pricing and disruption analysis,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AMH ESG reports, Land &amp; Buildings activist campaign, regulatory headwinds analysis, Yelp reviews (1.4/5),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AMH (American Homes 4 Rent),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