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AMPX</w:t>
      </w:r>
      <w:r>
        <w:rPr>
          <w:rFonts w:ascii="Calibri" w:hAnsi="Calibri"/>
          <w:b/>
          <w:color w:val="1A2010"/>
          <w:sz w:val="40"/>
        </w:rPr>
        <w:t xml:space="preserve">  Amprius Technologies, Inc.</w:t>
      </w:r>
    </w:p>
    <w:p>
      <w:pPr>
        <w:spacing w:after="120"/>
      </w:pPr>
      <w:r>
        <w:rPr>
          <w:rFonts w:ascii="Calibri" w:hAnsi="Calibri"/>
          <w:b/>
          <w:color w:val="6E8450"/>
          <w:sz w:val="18"/>
        </w:rPr>
        <w:t>GROWTH SLEEVE · 2026-03-27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Amprius Technologies develops, manufactures, and markets high-performance lithium-ion batteries using silicon anode technology for mobility applications including drones, satellites, eVTOL aircraft, and defense systems.</w:t>
      </w:r>
    </w:p>
    <w:p>
      <w:r>
        <w:rPr>
          <w:rFonts w:ascii="Calibri" w:hAnsi="Calibri"/>
          <w:b/>
          <w:color w:val="6E8450"/>
          <w:sz w:val="18"/>
        </w:rPr>
        <w:t>97 Employees · https://amprius.com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Amprius's SiMaxx platform delivers industry-leading energy density of 500 Wh/kg and 1,300 Wh/L — the highest commercially available lithium-ion battery performance [1]. Revenue surged 202% to $73M in 2025, Q4 gross margin reached 24%, and the company achieved its first positive quarterly adjusted EBITDA of $1.8M. SiCore, launched in 2024, provides a more manufacturable silicon anode system targeting the mass-market 2026 revenue ramp.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founder-CEO Dr. Kang Sun to operational leader Tom Stepien on January 1, 2026 reflects a maturing organization moving from R&amp;D to manufacturing scale [1]. Amprius's mission of enabling electric aviation, defense drones, and space applications carries inherent inspiration. However, with only 97 employees and limited public culture data, the depth of organizational inspiration is difficult to assess.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revenue growth is extraordinary (202% in 2025, 75% guided for 2026), Amprius remains unprofitable with a -60.3% profit margin and -50.8% ROE [1]. The $22.5M Colorado facility impairment and net loss of $44M (adjusted $21.5M) reflect a pre-profitability growth company. The forward P/E of 166x reflects speculative valuation. Positively, $91.9M in cash and the capital-light manufacturing partnership with Nanotech Energy reduce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Amprius is building potentially transformative technology with long-term applications in electrification, but the company is still in a pre-profitability survival phase where near-term execution and capital management dominate strategic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electric aviation, defense capabilities, and space applications through breakthrough battery technology represents a compelling purpose that transcends quarterly results [1]. The company's focus on NDAA-compliant U.S. manufacturing adds a national security dimension to its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transition from Dr. Sun to Tom Stepien suggests healthy succession planning for a 97-person company [1]. The manufacturing partnership with Nanotech Energy shows collaborative rather than insular thinking. Limited employee data prevents deeper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Amprius competes with Enovix, QuantumScape, and traditional lithium-ion manufacturers. The company's energy density leadership (500 Wh/kg) provides a measurable competitive advantage, but the transition from lab-scale to mass manufacturing is where many battery startups have failed.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in-house Colorado manufacturing to a capital-light contract manufacturing model with Nanotech Energy demonstrates strategic flexibility [1]. The termination of the $110M Colorado lease, while costly ($20M payment), shows willingness to write off sunk costs and adapt.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Setting ambitious 2030 targets of $600M+ revenue and 30%+ gross margins requires courage, as does the CEO transition during a critical scaling phase [1]. However, the company has not yet demonstrated the ability to scale manufacturing profitably, and the path from $73M to $600M revenue remains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Amprius owns the highest-performing commercially available lithium-ion battery technology (500 Wh/kg SiMaxx), has demonstrated commercial viability with 202% revenue growth to $73M in 2025, and guides 2026 revenue of $125M+ with a path to positive adjusted EBITDA [1]. The NDAA-compliant manufacturing and defense/aerospace customer base (AeroVironment, Airbus) provide a high-value market with limited competition. The capital-light Nanotech Energy partnership and $91.9M cash position reduce execution risk for the 2026 ramp.</w:t>
      </w:r>
    </w:p>
    <w:p>
      <w:pPr>
        <w:spacing w:after="120"/>
      </w:pPr>
      <w:r>
        <w:rPr>
          <w:rFonts w:ascii="Calibri" w:hAnsi="Calibri"/>
          <w:b w:val="0"/>
          <w:color w:val="3A4A28"/>
          <w:sz w:val="20"/>
        </w:rPr>
        <w:t>The bear case centers on manufacturing scaling risk and valuation. At 166x forward P/E and a $2.35B market cap for a company with $73M revenue and -$44M net loss, Amprius is priced for near-perfect execution [1]. The contract manufacturing model with Nanotech Energy in South Korea introduces quality and geopolitical risks. Customer concentration in defense and aerospace (AeroVironment, Airbus) means a single program cancellation could materially impact revenue. The company has never operated at manufacturing scale, and the transition from lab to mass production is where many battery technology companies have failed. Cash burn of ~$20M annually means the $91.9M cushion provides limited runway if scaling delays occur.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SiCore mass-production ramp in 2026 targeting $125M+ revenue represents the inflection from R&amp;D to manufacturing company, with Nanotech Energy partnership providing domestic production capability [1]</w:t>
      </w:r>
    </w:p>
    <w:p>
      <w:pPr>
        <w:spacing w:before="40" w:after="40"/>
        <w:ind w:left="283"/>
      </w:pPr>
      <w:r>
        <w:rPr>
          <w:rFonts w:ascii="Calibri" w:hAnsi="Calibri"/>
          <w:b/>
          <w:color w:val="4A6B25"/>
          <w:sz w:val="20"/>
        </w:rPr>
        <w:t xml:space="preserve">2. </w:t>
      </w:r>
      <w:r>
        <w:rPr>
          <w:rFonts w:ascii="Calibri" w:hAnsi="Calibri"/>
          <w:b w:val="0"/>
          <w:color w:val="3A4A28"/>
          <w:sz w:val="20"/>
        </w:rPr>
        <w:t>NDAA compliance opens access to major U.S. military drone programs, with the Department of Defense increasing autonomous systems spending significantly in FY2026-2027</w:t>
      </w:r>
    </w:p>
    <w:p>
      <w:pPr>
        <w:spacing w:before="40" w:after="40"/>
        <w:ind w:left="283"/>
      </w:pPr>
      <w:r>
        <w:rPr>
          <w:rFonts w:ascii="Calibri" w:hAnsi="Calibri"/>
          <w:b/>
          <w:color w:val="4A6B25"/>
          <w:sz w:val="20"/>
        </w:rPr>
        <w:t xml:space="preserve">3. </w:t>
      </w:r>
      <w:r>
        <w:rPr>
          <w:rFonts w:ascii="Calibri" w:hAnsi="Calibri"/>
          <w:b w:val="0"/>
          <w:color w:val="3A4A28"/>
          <w:sz w:val="20"/>
        </w:rPr>
        <w:t>Achievement of full-year positive adjusted EBITDA in 2026 (guided at $4M+) would validate the commercial business model and potentially trigger institutional investor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manufacturing with Nanotech Energy in South Korea introduces supply chain and quality control risks that could jeopardize the 2026 revenue ramp from $73M to $125M+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in defense/aerospace (AeroVironment, Airbus) means a single program cancellation or delay could reduce revenue by 20-30%</w:t>
      </w:r>
    </w:p>
    <w:p>
      <w:pPr>
        <w:spacing w:before="40" w:after="40"/>
        <w:ind w:left="283"/>
      </w:pPr>
      <w:r>
        <w:rPr>
          <w:rFonts w:ascii="Calibri" w:hAnsi="Calibri"/>
          <w:b/>
          <w:color w:val="4A6B25"/>
          <w:sz w:val="20"/>
        </w:rPr>
        <w:t xml:space="preserve">3. </w:t>
      </w:r>
      <w:r>
        <w:rPr>
          <w:rFonts w:ascii="Calibri" w:hAnsi="Calibri"/>
          <w:b w:val="0"/>
          <w:color w:val="3A4A28"/>
          <w:sz w:val="20"/>
        </w:rPr>
        <w:t>At 166x forward P/E, any manufacturing delay, quality issue, or guidance reduction could trigger 40-50% stock decline as growth expectations recalibrate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AI-powered drones, autonomous vehicles, and robots are key end markets for Amprius batteries, making the company a direct beneficiary of AI hardware proliferation [1]. NDAA-compliant batteries eligible for U.S. military drone programs position Amprius in a high-growth defense vertical. AI does not threaten Amprius's core battery chemistry and manufacturing — rather, it expands the addressable market for high-energy-density batteries.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Amprius Technologies FY2025 Earnings Release and 2026 Guidance, March 4, 2026</w:t>
      </w:r>
    </w:p>
    <w:p>
      <w:pPr>
        <w:spacing w:before="20" w:after="20"/>
        <w:ind w:left="170"/>
      </w:pPr>
      <w:r>
        <w:rPr>
          <w:rFonts w:ascii="Calibri" w:hAnsi="Calibri"/>
          <w:b/>
          <w:color w:val="4A6B25"/>
          <w:sz w:val="15"/>
        </w:rPr>
        <w:t xml:space="preserve">2. </w:t>
      </w:r>
      <w:r>
        <w:rPr>
          <w:rFonts w:ascii="Calibri" w:hAnsi="Calibri"/>
          <w:b w:val="0"/>
          <w:color w:val="3A4A28"/>
          <w:sz w:val="17"/>
        </w:rPr>
        <w:t>Amprius Silicon Anode Strategy and Manufacturing Partnership Analysis — Financial Content, Investing.com,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AMPX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